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CC8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961540"/>
      <w:r w:rsidRPr="00482D1E">
        <w:rPr>
          <w:rFonts w:ascii="Times New Roman" w:hAnsi="Times New Roman" w:cs="Times New Roman"/>
          <w:sz w:val="28"/>
          <w:szCs w:val="28"/>
        </w:rPr>
        <w:t>ROMÂNIA</w:t>
      </w:r>
    </w:p>
    <w:p w14:paraId="4297D637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JUDEŢUL SUCEAVA</w:t>
      </w:r>
    </w:p>
    <w:p w14:paraId="5601C27D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MUNICIPIUL CÂMPULUNG MOLDOVENESC</w:t>
      </w:r>
    </w:p>
    <w:p w14:paraId="1C8F0C54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CONSILIUL LOCAL</w:t>
      </w:r>
    </w:p>
    <w:p w14:paraId="72B59AEC" w14:textId="76EA0EEF" w:rsidR="0087492B" w:rsidRPr="0087492B" w:rsidRDefault="0087492B" w:rsidP="0087492B">
      <w:pPr>
        <w:widowControl w:val="0"/>
        <w:tabs>
          <w:tab w:val="left" w:leader="dot" w:pos="9260"/>
        </w:tabs>
        <w:autoSpaceDE w:val="0"/>
        <w:autoSpaceDN w:val="0"/>
        <w:spacing w:before="177" w:after="0" w:line="240" w:lineRule="auto"/>
        <w:jc w:val="right"/>
        <w:rPr>
          <w:rFonts w:ascii="Times New Roman" w:eastAsia="Arial MT" w:hAnsi="Times New Roman" w:cs="Times New Roman"/>
          <w:sz w:val="26"/>
          <w:lang w:val="ro-RO"/>
        </w:rPr>
      </w:pPr>
      <w:r w:rsidRPr="0087492B">
        <w:rPr>
          <w:rFonts w:ascii="Times New Roman" w:eastAsia="Arial MT" w:hAnsi="Times New Roman" w:cs="Times New Roman"/>
          <w:sz w:val="26"/>
          <w:lang w:val="ro-RO"/>
        </w:rPr>
        <w:t>Anexa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nr.1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la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HCL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nr.</w:t>
      </w:r>
      <w:r w:rsidR="00DD40F0">
        <w:rPr>
          <w:rFonts w:ascii="Times New Roman" w:eastAsia="Arial MT" w:hAnsi="Times New Roman" w:cs="Times New Roman"/>
          <w:sz w:val="26"/>
          <w:lang w:val="ro-RO"/>
        </w:rPr>
        <w:t xml:space="preserve"> 168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/2021</w:t>
      </w:r>
    </w:p>
    <w:bookmarkEnd w:id="0"/>
    <w:p w14:paraId="36D8C0F7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FA464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</w:p>
    <w:p w14:paraId="3A024FF1" w14:textId="77777777" w:rsidR="00482D1E" w:rsidRPr="00482D1E" w:rsidRDefault="00482D1E" w:rsidP="0087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b/>
          <w:sz w:val="28"/>
          <w:szCs w:val="28"/>
        </w:rPr>
        <w:t>STUDIU DE OPORTUNITATE</w:t>
      </w:r>
    </w:p>
    <w:p w14:paraId="05C1B290" w14:textId="3217C47E" w:rsidR="00482D1E" w:rsidRPr="00482D1E" w:rsidRDefault="00482D1E" w:rsidP="00420D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</w:t>
      </w:r>
      <w:r w:rsidR="00DA626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6777129"/>
      <w:proofErr w:type="spellStart"/>
      <w:r w:rsidR="00DA626D">
        <w:rPr>
          <w:rFonts w:ascii="Times New Roman" w:hAnsi="Times New Roman" w:cs="Times New Roman"/>
          <w:sz w:val="28"/>
          <w:szCs w:val="28"/>
        </w:rPr>
        <w:t>S</w:t>
      </w:r>
      <w:r w:rsidRPr="00482D1E">
        <w:rPr>
          <w:rFonts w:ascii="Times New Roman" w:hAnsi="Times New Roman" w:cs="Times New Roman"/>
          <w:sz w:val="28"/>
          <w:szCs w:val="28"/>
        </w:rPr>
        <w:t>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</w:p>
    <w:bookmarkEnd w:id="1"/>
    <w:p w14:paraId="72EBE1E7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63F78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DD5CE" w14:textId="5FA56790" w:rsidR="001E0071" w:rsidRPr="001E0071" w:rsidRDefault="00DA626D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1E0071" w:rsidRPr="001E007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conformi</w:t>
      </w:r>
      <w:r w:rsidR="001E0071">
        <w:rPr>
          <w:rFonts w:ascii="Times New Roman" w:hAnsi="Times New Roman" w:cs="Times New Roman"/>
          <w:sz w:val="28"/>
          <w:szCs w:val="28"/>
        </w:rPr>
        <w:t>tate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E0071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 xml:space="preserve"> art 1 </w:t>
      </w:r>
      <w:proofErr w:type="spellStart"/>
      <w:r w:rsidR="001E0071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>.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 (2) lit h) d</w:t>
      </w:r>
      <w:r w:rsidR="00BF3AAF">
        <w:rPr>
          <w:rFonts w:ascii="Times New Roman" w:hAnsi="Times New Roman" w:cs="Times New Roman"/>
          <w:sz w:val="28"/>
          <w:szCs w:val="28"/>
        </w:rPr>
        <w:t>i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nr</w:t>
      </w:r>
      <w:r w:rsidR="00BF3AAF">
        <w:rPr>
          <w:rFonts w:ascii="Times New Roman" w:hAnsi="Times New Roman" w:cs="Times New Roman"/>
          <w:sz w:val="28"/>
          <w:szCs w:val="28"/>
        </w:rPr>
        <w:t>.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 51/2006</w:t>
      </w:r>
      <w:r w:rsidR="00BF3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AA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transportu</w:t>
      </w:r>
      <w:r w:rsidR="00BF3AA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public local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comunitar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satisfacerea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esenţiale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generai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"' ale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colectivităţii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locale.</w:t>
      </w:r>
    </w:p>
    <w:p w14:paraId="7000194C" w14:textId="77777777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071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asemene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art, 32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, (2) di</w:t>
      </w:r>
      <w:r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aşi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fundamentării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soluţiei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optime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oportunitate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4ED7742A" w14:textId="74E6A27F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071">
        <w:rPr>
          <w:rFonts w:ascii="Times New Roman" w:hAnsi="Times New Roman" w:cs="Times New Roman"/>
          <w:sz w:val="28"/>
          <w:szCs w:val="28"/>
        </w:rPr>
        <w:t xml:space="preserve">Conform art. 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 (1) 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51/2006, „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sau, după caz, </w:t>
      </w:r>
      <w:r w:rsidR="00BF3AAF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E32114" w:rsidRPr="00BF3AA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asociaţiilor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de dezvoltare intercomunitară având ca scop serviciile de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utilităţi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publice, conform mandatelor acordate acestora prin hotărâri ale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autorităţilor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deliberative ale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unităţilor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administrativ-teritoriale membre.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gestionează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egale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hotărârilor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deliberative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urbanizare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importanţa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econom</w:t>
      </w:r>
      <w:r w:rsidR="00D22125"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co-soc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mărimea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tehnico-edilitară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existentă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."</w:t>
      </w:r>
    </w:p>
    <w:p w14:paraId="3A905D54" w14:textId="7D45585C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studiului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oportunitate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acela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facilita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concretă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creat</w:t>
      </w:r>
      <w:r w:rsidR="00D2212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factorii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economici,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lastRenderedPageBreak/>
        <w:t>reglementare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instituţionale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identifice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soluţia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potrivită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>transport loca</w:t>
      </w:r>
      <w:r w:rsidR="00D22125"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 xml:space="preserve">a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comunităţii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locale din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2212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4F5932D6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sunt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relevante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reglementări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:</w:t>
      </w:r>
    </w:p>
    <w:p w14:paraId="2C0014FC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(CE) NR. 1370/2007 din 23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feroviar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Regulamentelor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(CEE) nr. 1191/69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1107/70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aplicabilitate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1A31C7D7" w14:textId="52E07561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legal genera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51/2006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02CC30BE" w14:textId="53253C76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92/2007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071"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modific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 w:rsidRPr="001E0071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ș</w:t>
      </w:r>
      <w:r w:rsidRPr="001E007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complet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 w:rsidRPr="001E0071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6E768DE3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27/2011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transporturile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552E2564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972 din 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loca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local;</w:t>
      </w:r>
    </w:p>
    <w:p w14:paraId="665D5BB2" w14:textId="4001BA32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272/2007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Normelor-cadru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2693AADC" w14:textId="4EF4D587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131/1401/2019 din 17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standard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contractul-cadru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administrat</w:t>
      </w:r>
      <w:r w:rsidR="008C574C"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v-ter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troleibuze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tramvaie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21B06B65" w14:textId="77777777" w:rsidR="00BF3AAF" w:rsidRDefault="00BF3AAF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0E82AE" w14:textId="77777777" w:rsidR="00482D1E" w:rsidRPr="00482D1E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, a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ariei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teritoriale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sistemului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cărui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gestiune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delegată</w:t>
      </w:r>
      <w:proofErr w:type="spellEnd"/>
    </w:p>
    <w:p w14:paraId="552438E8" w14:textId="1D50ED3A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face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social general,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="008C574C">
        <w:rPr>
          <w:rFonts w:ascii="Times New Roman" w:hAnsi="Times New Roman" w:cs="Times New Roman"/>
          <w:sz w:val="28"/>
          <w:szCs w:val="28"/>
        </w:rPr>
        <w:t>-</w:t>
      </w:r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lastRenderedPageBreak/>
        <w:t>teritoriale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public local.</w:t>
      </w:r>
    </w:p>
    <w:p w14:paraId="69A8082D" w14:textId="18370E57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public local se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teritorială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r w:rsidR="008C574C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.</w:t>
      </w:r>
    </w:p>
    <w:p w14:paraId="6E4E95C3" w14:textId="0814C2E2" w:rsidR="00482D1E" w:rsidRPr="00794AB2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AB2">
        <w:rPr>
          <w:rFonts w:ascii="Times New Roman" w:hAnsi="Times New Roman" w:cs="Times New Roman"/>
          <w:sz w:val="28"/>
          <w:szCs w:val="28"/>
        </w:rPr>
        <w:t>Graficul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trasee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D5" w:rsidRPr="00794AB2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î</w:t>
      </w:r>
      <w:r w:rsidR="00C302D5" w:rsidRPr="00794A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D5" w:rsidRPr="00794AB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AB2" w:rsidRPr="00794AB2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794AB2"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94AB2" w:rsidRPr="00794AB2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794AB2" w:rsidRPr="00794AB2">
        <w:rPr>
          <w:rFonts w:ascii="Times New Roman" w:hAnsi="Times New Roman" w:cs="Times New Roman"/>
          <w:sz w:val="28"/>
          <w:szCs w:val="28"/>
        </w:rPr>
        <w:t>.</w:t>
      </w:r>
    </w:p>
    <w:p w14:paraId="57D45DDD" w14:textId="4FBDC650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:</w:t>
      </w:r>
    </w:p>
    <w:p w14:paraId="0921C33A" w14:textId="236F45DC" w:rsidR="00482D1E" w:rsidRPr="00482D1E" w:rsidRDefault="00C302D5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- </w:t>
      </w:r>
      <w:r w:rsidR="00C20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H</w:t>
      </w:r>
      <w:r w:rsidR="00482D1E" w:rsidRPr="00482D1E">
        <w:rPr>
          <w:rFonts w:ascii="Times New Roman" w:hAnsi="Times New Roman" w:cs="Times New Roman"/>
          <w:sz w:val="28"/>
          <w:szCs w:val="28"/>
        </w:rPr>
        <w:t>otărârea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stabilire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;</w:t>
      </w:r>
    </w:p>
    <w:p w14:paraId="6F4B36AC" w14:textId="472C12D2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F</w:t>
      </w:r>
      <w:r w:rsidRPr="00482D1E">
        <w:rPr>
          <w:rFonts w:ascii="Times New Roman" w:hAnsi="Times New Roman" w:cs="Times New Roman"/>
          <w:sz w:val="28"/>
          <w:szCs w:val="28"/>
        </w:rPr>
        <w:t>ormularele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tipizate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faciliteze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însoţesc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337D63F0" w14:textId="3AE6C73A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P</w:t>
      </w:r>
      <w:r w:rsidRPr="00482D1E">
        <w:rPr>
          <w:rFonts w:ascii="Times New Roman" w:hAnsi="Times New Roman" w:cs="Times New Roman"/>
          <w:sz w:val="28"/>
          <w:szCs w:val="28"/>
        </w:rPr>
        <w:t>rogramul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transport;</w:t>
      </w:r>
    </w:p>
    <w:p w14:paraId="6C6FC6FA" w14:textId="66A35683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riteriile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17314807" w14:textId="22D3C0F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riteriul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58A4FAE6" w14:textId="4BF96AC9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M</w:t>
      </w:r>
      <w:r w:rsidRPr="00482D1E">
        <w:rPr>
          <w:rFonts w:ascii="Times New Roman" w:hAnsi="Times New Roman" w:cs="Times New Roman"/>
          <w:sz w:val="28"/>
          <w:szCs w:val="28"/>
        </w:rPr>
        <w:t>odelul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r w:rsidR="00C20257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 xml:space="preserve">ontract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4C3A38E6" w14:textId="3B3455A5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V</w:t>
      </w:r>
      <w:r w:rsidRPr="00482D1E">
        <w:rPr>
          <w:rFonts w:ascii="Times New Roman" w:hAnsi="Times New Roman" w:cs="Times New Roman"/>
          <w:sz w:val="28"/>
          <w:szCs w:val="28"/>
        </w:rPr>
        <w:t>aloarea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A5A63E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79ECC" w14:textId="77777777" w:rsidR="00482D1E" w:rsidRPr="00C302D5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D5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Situaţia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economico-financiară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actuală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starea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tehnică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sistemului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aferent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acestuia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3BEC4" w14:textId="15BFEB3A" w:rsidR="003B0390" w:rsidRPr="003B0390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Î</w:t>
      </w:r>
      <w:r w:rsidR="003B0390" w:rsidRPr="003B039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="003B0390"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nr. </w:t>
      </w:r>
      <w:r w:rsidR="008C574C">
        <w:rPr>
          <w:rFonts w:ascii="Times New Roman" w:hAnsi="Times New Roman" w:cs="Times New Roman"/>
          <w:sz w:val="28"/>
          <w:szCs w:val="28"/>
        </w:rPr>
        <w:t>3043</w:t>
      </w:r>
      <w:r w:rsidR="003B0390" w:rsidRPr="003B0390">
        <w:rPr>
          <w:rFonts w:ascii="Times New Roman" w:hAnsi="Times New Roman" w:cs="Times New Roman"/>
          <w:sz w:val="28"/>
          <w:szCs w:val="28"/>
        </w:rPr>
        <w:t>/</w:t>
      </w:r>
      <w:r w:rsidR="008C574C">
        <w:rPr>
          <w:rFonts w:ascii="Times New Roman" w:hAnsi="Times New Roman" w:cs="Times New Roman"/>
          <w:sz w:val="28"/>
          <w:szCs w:val="28"/>
        </w:rPr>
        <w:t>2006</w:t>
      </w:r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U.A.T.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Campulung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MA</w:t>
      </w:r>
      <w:r w:rsidR="008C574C">
        <w:rPr>
          <w:rFonts w:ascii="Times New Roman" w:hAnsi="Times New Roman" w:cs="Times New Roman"/>
          <w:sz w:val="28"/>
          <w:szCs w:val="28"/>
        </w:rPr>
        <w:t>NUCU COM</w:t>
      </w:r>
      <w:r w:rsidR="003B0390" w:rsidRPr="003B0390">
        <w:rPr>
          <w:rFonts w:ascii="Times New Roman" w:hAnsi="Times New Roman" w:cs="Times New Roman"/>
          <w:sz w:val="28"/>
          <w:szCs w:val="28"/>
        </w:rPr>
        <w:t xml:space="preserve"> S</w:t>
      </w:r>
      <w:r w:rsidR="008C574C">
        <w:rPr>
          <w:rFonts w:ascii="Times New Roman" w:hAnsi="Times New Roman" w:cs="Times New Roman"/>
          <w:sz w:val="28"/>
          <w:szCs w:val="28"/>
        </w:rPr>
        <w:t>.R.L.</w:t>
      </w:r>
    </w:p>
    <w:p w14:paraId="457A4A0E" w14:textId="408F45BE" w:rsidR="003B0390" w:rsidRPr="003B0390" w:rsidRDefault="003B0390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3B0390">
        <w:rPr>
          <w:rFonts w:ascii="Times New Roman" w:hAnsi="Times New Roman" w:cs="Times New Roman"/>
          <w:sz w:val="28"/>
          <w:szCs w:val="28"/>
        </w:rPr>
        <w:t>ontractului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Public Local de Transport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curse regulate pe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Teritorial</w:t>
      </w:r>
      <w:r w:rsidR="008C574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la </w:t>
      </w:r>
      <w:r w:rsidR="008C574C">
        <w:rPr>
          <w:rFonts w:ascii="Times New Roman" w:hAnsi="Times New Roman" w:cs="Times New Roman"/>
          <w:sz w:val="28"/>
          <w:szCs w:val="28"/>
        </w:rPr>
        <w:t>6</w:t>
      </w:r>
      <w:r w:rsidRPr="003B0390">
        <w:rPr>
          <w:rFonts w:ascii="Times New Roman" w:hAnsi="Times New Roman" w:cs="Times New Roman"/>
          <w:sz w:val="28"/>
          <w:szCs w:val="28"/>
        </w:rPr>
        <w:t xml:space="preserve"> ani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r w:rsidR="005011B4">
        <w:rPr>
          <w:rFonts w:ascii="Times New Roman" w:hAnsi="Times New Roman" w:cs="Times New Roman"/>
          <w:sz w:val="28"/>
          <w:szCs w:val="28"/>
        </w:rPr>
        <w:t>de la</w:t>
      </w:r>
      <w:r w:rsidRPr="003B0390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>.</w:t>
      </w:r>
    </w:p>
    <w:p w14:paraId="7F77E7A7" w14:textId="5373612A" w:rsidR="003B0390" w:rsidRDefault="003B0390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delegării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Local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Campulung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nr. </w:t>
      </w:r>
      <w:r w:rsidR="00DA626D">
        <w:rPr>
          <w:rFonts w:ascii="Times New Roman" w:hAnsi="Times New Roman" w:cs="Times New Roman"/>
          <w:sz w:val="28"/>
          <w:szCs w:val="28"/>
        </w:rPr>
        <w:t>3043</w:t>
      </w:r>
      <w:r w:rsidRPr="003B0390">
        <w:rPr>
          <w:rFonts w:ascii="Times New Roman" w:hAnsi="Times New Roman" w:cs="Times New Roman"/>
          <w:sz w:val="28"/>
          <w:szCs w:val="28"/>
        </w:rPr>
        <w:t>/</w:t>
      </w:r>
      <w:r w:rsidR="00DA626D">
        <w:rPr>
          <w:rFonts w:ascii="Times New Roman" w:hAnsi="Times New Roman" w:cs="Times New Roman"/>
          <w:sz w:val="28"/>
          <w:szCs w:val="28"/>
        </w:rPr>
        <w:t>08.02.2016</w:t>
      </w:r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public local de transport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curse regulate pe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>.</w:t>
      </w:r>
    </w:p>
    <w:p w14:paraId="45BADEEC" w14:textId="4F82B803" w:rsidR="00482D1E" w:rsidRPr="00482D1E" w:rsidRDefault="00482D1E" w:rsidP="008C57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concesionat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S.C.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Manucu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S.R.L</w:t>
      </w:r>
      <w:r w:rsidR="008C574C">
        <w:rPr>
          <w:rFonts w:ascii="Times New Roman" w:hAnsi="Times New Roman" w:cs="Times New Roman"/>
          <w:sz w:val="28"/>
          <w:szCs w:val="28"/>
        </w:rPr>
        <w:t>.</w:t>
      </w:r>
    </w:p>
    <w:p w14:paraId="2D06D170" w14:textId="1C23EE5C" w:rsidR="00482D1E" w:rsidRPr="00794AB2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Num</w:t>
      </w:r>
      <w:r w:rsidR="008C574C" w:rsidRPr="00794AB2">
        <w:rPr>
          <w:rFonts w:ascii="Times New Roman" w:hAnsi="Times New Roman" w:cs="Times New Roman"/>
          <w:sz w:val="28"/>
          <w:szCs w:val="28"/>
        </w:rPr>
        <w:t>ă</w:t>
      </w:r>
      <w:r w:rsidRPr="00794AB2">
        <w:rPr>
          <w:rFonts w:ascii="Times New Roman" w:hAnsi="Times New Roman" w:cs="Times New Roman"/>
          <w:sz w:val="28"/>
          <w:szCs w:val="28"/>
        </w:rPr>
        <w:t>rul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total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 (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microbuze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) cu care se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desfă</w:t>
      </w:r>
      <w:r w:rsidR="008C574C" w:rsidRPr="00794AB2">
        <w:rPr>
          <w:rFonts w:ascii="Times New Roman" w:hAnsi="Times New Roman" w:cs="Times New Roman"/>
          <w:sz w:val="28"/>
          <w:szCs w:val="28"/>
        </w:rPr>
        <w:t>ș</w:t>
      </w:r>
      <w:r w:rsidRPr="00794AB2">
        <w:rPr>
          <w:rFonts w:ascii="Times New Roman" w:hAnsi="Times New Roman" w:cs="Times New Roman"/>
          <w:sz w:val="28"/>
          <w:szCs w:val="28"/>
        </w:rPr>
        <w:t>oară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 public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r w:rsidR="008C574C" w:rsidRPr="00794AB2">
        <w:rPr>
          <w:rFonts w:ascii="Times New Roman" w:hAnsi="Times New Roman" w:cs="Times New Roman"/>
          <w:sz w:val="28"/>
          <w:szCs w:val="28"/>
        </w:rPr>
        <w:t>3</w:t>
      </w:r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buc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>.</w:t>
      </w:r>
      <w:r w:rsidR="008C574C" w:rsidRPr="00794AB2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operaționale</w:t>
      </w:r>
      <w:proofErr w:type="spellEnd"/>
      <w:r w:rsidR="008C574C" w:rsidRPr="00794AB2">
        <w:rPr>
          <w:rFonts w:ascii="Times New Roman" w:hAnsi="Times New Roman" w:cs="Times New Roman"/>
          <w:sz w:val="28"/>
          <w:szCs w:val="28"/>
        </w:rPr>
        <w:t xml:space="preserve"> + 1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="008C574C" w:rsidRPr="00794AB2">
        <w:rPr>
          <w:rFonts w:ascii="Times New Roman" w:hAnsi="Times New Roman" w:cs="Times New Roman"/>
          <w:sz w:val="28"/>
          <w:szCs w:val="28"/>
        </w:rPr>
        <w:t>).</w:t>
      </w:r>
    </w:p>
    <w:p w14:paraId="28EC0A02" w14:textId="1DF83317" w:rsidR="00482D1E" w:rsidRDefault="008C574C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titlurilor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încasate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>.</w:t>
      </w:r>
    </w:p>
    <w:p w14:paraId="0248A6B4" w14:textId="77777777" w:rsidR="003B0390" w:rsidRDefault="003B0390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Preţurile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biletelor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 MANUCU SRL sunt:</w:t>
      </w:r>
    </w:p>
    <w:p w14:paraId="382FEECE" w14:textId="77777777" w:rsidR="00A64CD3" w:rsidRPr="00A64CD3" w:rsidRDefault="00A64CD3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traseul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Podul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Sadova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Podul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Bucătarului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1E91D25" w14:textId="7DF45044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a) </w:t>
      </w:r>
      <w:r w:rsidR="007A17F1">
        <w:rPr>
          <w:rFonts w:ascii="Times New Roman" w:hAnsi="Times New Roman" w:cs="Times New Roman"/>
          <w:sz w:val="28"/>
          <w:szCs w:val="28"/>
        </w:rPr>
        <w:t>58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subvenţionate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070FE9CA" w14:textId="57F23234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b) 2</w:t>
      </w:r>
      <w:r w:rsidR="007A17F1">
        <w:rPr>
          <w:rFonts w:ascii="Times New Roman" w:hAnsi="Times New Roman" w:cs="Times New Roman"/>
          <w:sz w:val="28"/>
          <w:szCs w:val="28"/>
        </w:rPr>
        <w:t>5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08889997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c) 37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7B78F9F6" w14:textId="1E28DF88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d) </w:t>
      </w:r>
      <w:r w:rsidR="007A17F1">
        <w:rPr>
          <w:rFonts w:ascii="Times New Roman" w:hAnsi="Times New Roman" w:cs="Times New Roman"/>
          <w:sz w:val="28"/>
          <w:szCs w:val="28"/>
        </w:rPr>
        <w:t>50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6B1A56D7" w14:textId="37EF12E3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e) </w:t>
      </w:r>
      <w:r w:rsidR="007A17F1">
        <w:rPr>
          <w:rFonts w:ascii="Times New Roman" w:hAnsi="Times New Roman" w:cs="Times New Roman"/>
          <w:sz w:val="28"/>
          <w:szCs w:val="28"/>
        </w:rPr>
        <w:t>70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6C825556" w14:textId="49AD5388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f) 2</w:t>
      </w:r>
      <w:r w:rsidR="007A17F1">
        <w:rPr>
          <w:rFonts w:ascii="Times New Roman" w:hAnsi="Times New Roman" w:cs="Times New Roman"/>
          <w:sz w:val="28"/>
          <w:szCs w:val="28"/>
        </w:rPr>
        <w:t>,5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.</w:t>
      </w:r>
    </w:p>
    <w:p w14:paraId="5F10BF59" w14:textId="77777777" w:rsidR="00A64CD3" w:rsidRPr="00A64CD3" w:rsidRDefault="00A64CD3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traseul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Centru-Buneşti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:</w:t>
      </w:r>
    </w:p>
    <w:p w14:paraId="2089A3F5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a) 10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subvenţionate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5B63B3B0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b) 10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1AF13DEF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c) 18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33E1A8E1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d) 22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73189C46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e) 29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12300FC9" w14:textId="77777777" w:rsidR="003B0390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f) 1 lei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.</w:t>
      </w:r>
    </w:p>
    <w:p w14:paraId="58DA4A4A" w14:textId="77777777" w:rsidR="00A64CD3" w:rsidRDefault="00A64CD3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0E288" w14:textId="587B2135" w:rsidR="00A64CD3" w:rsidRPr="00A64CD3" w:rsidRDefault="00DA626D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facilităţile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A64CD3" w:rsidRPr="00A64CD3">
        <w:rPr>
          <w:rFonts w:ascii="Times New Roman" w:hAnsi="Times New Roman" w:cs="Times New Roman"/>
          <w:sz w:val="28"/>
          <w:szCs w:val="28"/>
        </w:rPr>
        <w:t>utoritatea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beneficiu</w:t>
      </w:r>
      <w:r w:rsidR="00A64CD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 w:rsidR="00317D5F">
        <w:rPr>
          <w:rFonts w:ascii="Times New Roman" w:hAnsi="Times New Roman" w:cs="Times New Roman"/>
          <w:sz w:val="28"/>
          <w:szCs w:val="28"/>
        </w:rPr>
        <w:t>,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organizatoric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Local a</w:t>
      </w:r>
      <w:r w:rsidR="00A64CD3">
        <w:rPr>
          <w:rFonts w:ascii="Times New Roman" w:hAnsi="Times New Roman" w:cs="Times New Roman"/>
          <w:sz w:val="28"/>
          <w:szCs w:val="28"/>
        </w:rPr>
        <w:t>l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HG nr. 435</w:t>
      </w:r>
      <w:r w:rsidR="00A64CD3">
        <w:rPr>
          <w:rFonts w:ascii="Times New Roman" w:hAnsi="Times New Roman" w:cs="Times New Roman"/>
          <w:sz w:val="28"/>
          <w:szCs w:val="28"/>
        </w:rPr>
        <w:t>/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decontare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al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C0170D" w:rsidRPr="00C01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170D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01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170D">
        <w:rPr>
          <w:rFonts w:ascii="Times New Roman" w:eastAsia="Calibri" w:hAnsi="Times New Roman" w:cs="Times New Roman"/>
          <w:sz w:val="28"/>
          <w:szCs w:val="28"/>
        </w:rPr>
        <w:t>a</w:t>
      </w:r>
      <w:r w:rsidR="00C0170D" w:rsidRPr="00C0170D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art.84 din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nr. 1/2011 a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nr. 226 din 30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2020</w:t>
      </w:r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</w:p>
    <w:p w14:paraId="24DF5998" w14:textId="2B5A4BF9" w:rsidR="00A64CD3" w:rsidRP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ncepând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E359DD">
        <w:rPr>
          <w:rFonts w:ascii="Times New Roman" w:hAnsi="Times New Roman" w:cs="Times New Roman"/>
          <w:sz w:val="28"/>
          <w:szCs w:val="28"/>
        </w:rPr>
        <w:t xml:space="preserve"> 2020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r w:rsidR="00E359DD">
        <w:rPr>
          <w:rFonts w:ascii="Times New Roman" w:hAnsi="Times New Roman" w:cs="Times New Roman"/>
          <w:sz w:val="28"/>
          <w:szCs w:val="28"/>
        </w:rPr>
        <w:t xml:space="preserve">s-au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 w:rsidR="00E359DD">
        <w:rPr>
          <w:rFonts w:ascii="Times New Roman" w:hAnsi="Times New Roman" w:cs="Times New Roman"/>
          <w:sz w:val="28"/>
          <w:szCs w:val="28"/>
        </w:rPr>
        <w:t xml:space="preserve"> </w:t>
      </w:r>
      <w:r w:rsidR="00A64CD3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subvenţii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public local SC </w:t>
      </w:r>
      <w:r w:rsidR="00A64CD3">
        <w:rPr>
          <w:rFonts w:ascii="Times New Roman" w:hAnsi="Times New Roman" w:cs="Times New Roman"/>
          <w:sz w:val="28"/>
          <w:szCs w:val="28"/>
        </w:rPr>
        <w:t>MANUCU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SRL, ca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diferenţă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popul</w:t>
      </w:r>
      <w:r w:rsidR="00A64CD3" w:rsidRPr="00A64CD3">
        <w:rPr>
          <w:rFonts w:ascii="Times New Roman" w:hAnsi="Times New Roman" w:cs="Times New Roman"/>
          <w:sz w:val="28"/>
          <w:szCs w:val="28"/>
        </w:rPr>
        <w:t>aţie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suportabilităţi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costurilor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utilizatori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(art. 17,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  <w:r w:rsidR="00A64CD3">
        <w:rPr>
          <w:rFonts w:ascii="Times New Roman" w:hAnsi="Times New Roman" w:cs="Times New Roman"/>
          <w:sz w:val="28"/>
          <w:szCs w:val="28"/>
        </w:rPr>
        <w:t xml:space="preserve"> (</w:t>
      </w:r>
      <w:r w:rsidR="00A64CD3" w:rsidRPr="00A64CD3">
        <w:rPr>
          <w:rFonts w:ascii="Times New Roman" w:hAnsi="Times New Roman" w:cs="Times New Roman"/>
          <w:sz w:val="28"/>
          <w:szCs w:val="28"/>
        </w:rPr>
        <w:t>l</w:t>
      </w:r>
      <w:r w:rsidR="00A64CD3">
        <w:rPr>
          <w:rFonts w:ascii="Times New Roman" w:hAnsi="Times New Roman" w:cs="Times New Roman"/>
          <w:sz w:val="28"/>
          <w:szCs w:val="28"/>
        </w:rPr>
        <w:t xml:space="preserve">) lit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nr. 92/2007,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)</w:t>
      </w:r>
      <w:r w:rsidR="00E359DD" w:rsidRPr="00DD6237">
        <w:rPr>
          <w:rFonts w:ascii="Times New Roman" w:hAnsi="Times New Roman" w:cs="Times New Roman"/>
          <w:sz w:val="28"/>
          <w:szCs w:val="28"/>
        </w:rPr>
        <w:t>.</w:t>
      </w:r>
    </w:p>
    <w:p w14:paraId="277CDC0F" w14:textId="663C1CDA" w:rsidR="00A64CD3" w:rsidRP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art. 1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(CE) nr. 1370/2007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D3" w:rsidRPr="00A64CD3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impun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contractează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compensează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exclusive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public</w:t>
      </w:r>
      <w:r w:rsidR="00A64CD3" w:rsidRPr="00A64C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2FBFE" w14:textId="1291B296" w:rsid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obligaţiei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primeşte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presta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A64CD3" w:rsidRPr="00A64CD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ă</w:t>
      </w:r>
      <w:r w:rsidR="00A64CD3" w:rsidRPr="00A64CD3">
        <w:rPr>
          <w:rFonts w:ascii="Times New Roman" w:hAnsi="Times New Roman" w:cs="Times New Roman"/>
          <w:sz w:val="28"/>
          <w:szCs w:val="28"/>
        </w:rPr>
        <w:t>tori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administrativ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4CD3" w:rsidRPr="00A64CD3"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CDAF6" w14:textId="49DDB63D" w:rsidR="0029512C" w:rsidRPr="007D56B7" w:rsidRDefault="0029512C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bani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compensaţie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mod normal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sustenabil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economic.</w:t>
      </w:r>
    </w:p>
    <w:p w14:paraId="513761CC" w14:textId="497326FE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o</w:t>
      </w:r>
      <w:r w:rsidRPr="007D56B7">
        <w:rPr>
          <w:rFonts w:ascii="Times New Roman" w:hAnsi="Times New Roman" w:cs="Times New Roman"/>
          <w:sz w:val="28"/>
          <w:szCs w:val="28"/>
        </w:rPr>
        <w:t>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obligații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ofertat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Normele-cadru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272/2007.</w:t>
      </w:r>
    </w:p>
    <w:p w14:paraId="54AFC1AC" w14:textId="64AAEA85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formulei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75A5D945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Tcm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Tc) x 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68D1A95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1E41C356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5BEF81CC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Tcm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ofertat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272/2007;</w:t>
      </w:r>
    </w:p>
    <w:p w14:paraId="0E535ADC" w14:textId="2587B0B6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>Tc [lei/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]–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impus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; 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estimate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efectuare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referință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321E1689" w14:textId="32102600" w:rsidR="00F424AE" w:rsidRPr="007D56B7" w:rsidRDefault="00F424AE" w:rsidP="00F4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calculează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formulă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64B5B346" w14:textId="308E9316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= CE +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V</w:t>
      </w:r>
    </w:p>
    <w:p w14:paraId="29AB689C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2FD8FCE5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0DFE20F4" w14:textId="1E95A810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CE [lei] –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Normele-cadru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272/2007.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CE sunt calculate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includerea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amortizării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rambursării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creditelor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Amortizarea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stat nu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6942F7F8" w14:textId="5DCE0C7D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 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profitul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rezonabil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rentabilitate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sz w:val="28"/>
          <w:szCs w:val="28"/>
        </w:rPr>
        <w:lastRenderedPageBreak/>
        <w:t xml:space="preserve">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suportat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Rata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profitului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rezonabil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[…]%.;</w:t>
      </w:r>
    </w:p>
    <w:p w14:paraId="59A5157B" w14:textId="61C18342" w:rsidR="0029512C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V [lei]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generate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îndreptățit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diferențele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îndreptă</w:t>
      </w:r>
      <w:r w:rsidR="00DD6237">
        <w:rPr>
          <w:rFonts w:ascii="Times New Roman" w:hAnsi="Times New Roman" w:cs="Times New Roman"/>
          <w:sz w:val="28"/>
          <w:szCs w:val="28"/>
        </w:rPr>
        <w:t>ț</w:t>
      </w:r>
      <w:r w:rsidRPr="007D56B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D6C25EA" w14:textId="36CAEE27" w:rsidR="00F424AE" w:rsidRPr="007D56B7" w:rsidRDefault="00F424AE" w:rsidP="00F4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</w:t>
      </w:r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Consiliu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estimările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iniţiale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rectificărilor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necesarului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sfârșitul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F5A4996" w14:textId="77777777" w:rsidR="00A64CD3" w:rsidRPr="00482D1E" w:rsidRDefault="00A64CD3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C60BAF" w14:textId="77777777" w:rsidR="00482D1E" w:rsidRPr="00C302D5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D5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Investiţiile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necesare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modernizarea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îmbunătăţirea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calitativă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cantitativă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precum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condiţiilor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extinderea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0CB8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normale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necesităţile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ale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locuitorilor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prevedea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E3C801" w14:textId="7B2AEA14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dotare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întrunească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(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</w:t>
      </w:r>
      <w:r w:rsidR="00317D5F">
        <w:rPr>
          <w:rFonts w:ascii="Times New Roman" w:hAnsi="Times New Roman" w:cs="Times New Roman"/>
          <w:sz w:val="28"/>
          <w:szCs w:val="28"/>
        </w:rPr>
        <w:t>ș</w:t>
      </w:r>
      <w:r w:rsidRPr="00482D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cum sunt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definiţi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Ordonan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nr. 27/2011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transporturile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),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>
        <w:rPr>
          <w:rFonts w:ascii="Times New Roman" w:hAnsi="Times New Roman" w:cs="Times New Roman"/>
          <w:sz w:val="28"/>
          <w:szCs w:val="28"/>
        </w:rPr>
        <w:t>î</w:t>
      </w:r>
      <w:r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constau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>
        <w:rPr>
          <w:rFonts w:ascii="Times New Roman" w:hAnsi="Times New Roman" w:cs="Times New Roman"/>
          <w:sz w:val="28"/>
          <w:szCs w:val="28"/>
        </w:rPr>
        <w:t>î</w:t>
      </w:r>
      <w:r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:</w:t>
      </w:r>
    </w:p>
    <w:p w14:paraId="787CD468" w14:textId="0B5BFDC2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refugii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 w:rsidRPr="005534FC">
        <w:rPr>
          <w:rFonts w:ascii="Times New Roman" w:hAnsi="Times New Roman" w:cs="Times New Roman"/>
          <w:sz w:val="28"/>
          <w:szCs w:val="28"/>
        </w:rPr>
        <w:t>ș</w:t>
      </w:r>
      <w:r w:rsidRPr="005534F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sta</w:t>
      </w:r>
      <w:r w:rsidR="00317D5F" w:rsidRPr="005534FC">
        <w:rPr>
          <w:rFonts w:ascii="Times New Roman" w:hAnsi="Times New Roman" w:cs="Times New Roman"/>
          <w:sz w:val="28"/>
          <w:szCs w:val="28"/>
        </w:rPr>
        <w:t>ț</w:t>
      </w:r>
      <w:r w:rsidRPr="005534FC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b</w:t>
      </w:r>
      <w:r w:rsidR="00317D5F" w:rsidRPr="005534FC">
        <w:rPr>
          <w:rFonts w:ascii="Times New Roman" w:hAnsi="Times New Roman" w:cs="Times New Roman"/>
          <w:sz w:val="28"/>
          <w:szCs w:val="28"/>
        </w:rPr>
        <w:t>ă</w:t>
      </w:r>
      <w:r w:rsidRPr="005534FC">
        <w:rPr>
          <w:rFonts w:ascii="Times New Roman" w:hAnsi="Times New Roman" w:cs="Times New Roman"/>
          <w:sz w:val="28"/>
          <w:szCs w:val="28"/>
        </w:rPr>
        <w:t>nci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copertine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adaposturi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semnalizarea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primele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r w:rsidR="00DA626D" w:rsidRPr="005534FC">
        <w:rPr>
          <w:rFonts w:ascii="Times New Roman" w:hAnsi="Times New Roman" w:cs="Times New Roman"/>
          <w:sz w:val="28"/>
          <w:szCs w:val="28"/>
        </w:rPr>
        <w:t>3</w:t>
      </w:r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de contract</w:t>
      </w:r>
      <w:r w:rsidRPr="00482D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ED9855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afară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investiţiile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specifica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termenele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concrete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finalizare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.</w:t>
      </w:r>
    </w:p>
    <w:p w14:paraId="20F9ED24" w14:textId="69B64FD4" w:rsid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deschis</w:t>
      </w:r>
      <w:r w:rsidR="00317D5F" w:rsidRPr="007D56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</w:t>
      </w:r>
      <w:r w:rsidR="00317D5F" w:rsidRPr="007D56B7">
        <w:rPr>
          <w:rFonts w:ascii="Times New Roman" w:hAnsi="Times New Roman" w:cs="Times New Roman"/>
          <w:sz w:val="28"/>
          <w:szCs w:val="28"/>
        </w:rPr>
        <w:t>â</w:t>
      </w:r>
      <w:r w:rsidRPr="007D56B7">
        <w:rPr>
          <w:rFonts w:ascii="Times New Roman" w:hAnsi="Times New Roman" w:cs="Times New Roman"/>
          <w:sz w:val="28"/>
          <w:szCs w:val="28"/>
        </w:rPr>
        <w:t>rtia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schi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sezonului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iarnă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are loc un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aflux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sporit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turiști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>,</w:t>
      </w:r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introducerea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curse regulate,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schi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Rarău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constitui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soluție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descongestionarea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drumul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schiabil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creează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deplasării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pârtie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turiștilor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cazați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unitățile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turism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>.</w:t>
      </w:r>
      <w:r w:rsidR="00403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DD7">
        <w:rPr>
          <w:rFonts w:ascii="Times New Roman" w:hAnsi="Times New Roman" w:cs="Times New Roman"/>
          <w:sz w:val="28"/>
          <w:szCs w:val="28"/>
        </w:rPr>
        <w:t>Opera</w:t>
      </w:r>
      <w:r w:rsidR="00403133">
        <w:rPr>
          <w:rFonts w:ascii="Times New Roman" w:hAnsi="Times New Roman" w:cs="Times New Roman"/>
          <w:sz w:val="28"/>
          <w:szCs w:val="28"/>
        </w:rPr>
        <w:t>r</w:t>
      </w:r>
      <w:r w:rsidR="00771DD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curse regulate</w:t>
      </w:r>
      <w:r w:rsidR="00771DD7">
        <w:rPr>
          <w:rFonts w:ascii="Times New Roman" w:hAnsi="Times New Roman" w:cs="Times New Roman"/>
          <w:sz w:val="28"/>
          <w:szCs w:val="28"/>
        </w:rPr>
        <w:t>,</w:t>
      </w:r>
      <w:r w:rsidR="008C4F9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capătul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schii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Rarău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efect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supraaglomerării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parcarea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deservește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2175E6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0B4603" w14:textId="77777777" w:rsidR="002E7C3E" w:rsidRPr="002E7C3E" w:rsidRDefault="002E7C3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3E">
        <w:rPr>
          <w:rFonts w:ascii="Times New Roman" w:hAnsi="Times New Roman" w:cs="Times New Roman"/>
          <w:b/>
          <w:sz w:val="28"/>
          <w:szCs w:val="28"/>
        </w:rPr>
        <w:lastRenderedPageBreak/>
        <w:t>D.</w:t>
      </w:r>
      <w:r w:rsidRPr="002E7C3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Obiectivele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procesului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transport public local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călători</w:t>
      </w:r>
      <w:proofErr w:type="spellEnd"/>
    </w:p>
    <w:p w14:paraId="5E89A2F3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Principalele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urmărite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sunt:</w:t>
      </w:r>
    </w:p>
    <w:p w14:paraId="613D3784" w14:textId="77777777" w:rsidR="002E7C3E" w:rsidRPr="002E7C3E" w:rsidRDefault="002E7C3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transparenţei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procedurile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0487AABC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>cili</w:t>
      </w:r>
      <w:r w:rsidRPr="002E7C3E">
        <w:rPr>
          <w:rFonts w:ascii="Times New Roman" w:hAnsi="Times New Roman" w:cs="Times New Roman"/>
          <w:sz w:val="28"/>
          <w:szCs w:val="28"/>
        </w:rPr>
        <w:t>tăţi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anumitor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63AD915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corelarea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fluxurile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14AE76E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continuităţii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corelate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fluxurile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mărfuri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04152949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nive</w:t>
      </w:r>
      <w:r>
        <w:rPr>
          <w:rFonts w:ascii="Times New Roman" w:hAnsi="Times New Roman" w:cs="Times New Roman"/>
          <w:sz w:val="28"/>
          <w:szCs w:val="28"/>
        </w:rPr>
        <w:t>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efortului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investiţional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mijloacele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transport.</w:t>
      </w:r>
    </w:p>
    <w:p w14:paraId="3ADD7810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principii:</w:t>
      </w:r>
    </w:p>
    <w:p w14:paraId="5D53CD89" w14:textId="77777777" w:rsidR="002E7C3E" w:rsidRPr="002E7C3E" w:rsidRDefault="002E7C3E" w:rsidP="0087492B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concurenţei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li s-a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7300E4CC" w14:textId="04116878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accesului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egal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nediscr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minatoriu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r w:rsidR="00593E95">
        <w:rPr>
          <w:rFonts w:ascii="Times New Roman" w:hAnsi="Times New Roman" w:cs="Times New Roman"/>
          <w:sz w:val="28"/>
          <w:szCs w:val="28"/>
        </w:rPr>
        <w:t>l</w:t>
      </w:r>
      <w:r w:rsidRPr="002E7C3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piaţa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public local;</w:t>
      </w:r>
    </w:p>
    <w:p w14:paraId="045652C2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local;</w:t>
      </w:r>
    </w:p>
    <w:p w14:paraId="7EB19EA2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confort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poliţe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7F1FBBF6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transport public local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suportabil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transport;</w:t>
      </w:r>
    </w:p>
    <w:p w14:paraId="7F7ACA2B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independenţa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24AAD2E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economice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infrastructuri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modernă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486A98F3" w14:textId="28ACE7AD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satisfacerea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prioritate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deplasare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nstituţiilor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economici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3C7A8DBA" w14:textId="77777777" w:rsid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categoriilor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defavorizate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compensarea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449BDE2E" w14:textId="77777777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1E763C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BE7F9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75ABC" w14:textId="26AA9E69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3E">
        <w:rPr>
          <w:rFonts w:ascii="Times New Roman" w:hAnsi="Times New Roman" w:cs="Times New Roman"/>
          <w:b/>
          <w:sz w:val="28"/>
          <w:szCs w:val="28"/>
        </w:rPr>
        <w:lastRenderedPageBreak/>
        <w:t>E.</w:t>
      </w:r>
      <w:r w:rsidRPr="002E7C3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modalităţilor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administrare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public local</w:t>
      </w:r>
    </w:p>
    <w:p w14:paraId="7150B7D5" w14:textId="25B1A3DB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art. 3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 „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C3E">
        <w:rPr>
          <w:rFonts w:ascii="Times New Roman" w:hAnsi="Times New Roman" w:cs="Times New Roman"/>
          <w:sz w:val="28"/>
          <w:szCs w:val="28"/>
        </w:rPr>
        <w:t xml:space="preserve">transport local fac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cuprind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593E9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social general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asociaţiilor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intercomunitară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navigabile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local'</w:t>
      </w:r>
    </w:p>
    <w:p w14:paraId="40A968E7" w14:textId="1C77F9A5" w:rsidR="002E7C3E" w:rsidRPr="002E7C3E" w:rsidRDefault="00593E95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local, art, 21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</w:t>
      </w:r>
      <w:r w:rsidR="002E7C3E">
        <w:rPr>
          <w:rFonts w:ascii="Times New Roman" w:hAnsi="Times New Roman" w:cs="Times New Roman"/>
          <w:sz w:val="28"/>
          <w:szCs w:val="28"/>
        </w:rPr>
        <w:t xml:space="preserve">/2007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are l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oc fie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fie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r w:rsidR="002E7C3E">
        <w:rPr>
          <w:rFonts w:ascii="Times New Roman" w:hAnsi="Times New Roman" w:cs="Times New Roman"/>
          <w:sz w:val="28"/>
          <w:szCs w:val="28"/>
        </w:rPr>
        <w:t xml:space="preserve">se face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local.</w:t>
      </w:r>
    </w:p>
    <w:p w14:paraId="3E2A4FF1" w14:textId="296CB1A5" w:rsidR="002E7C3E" w:rsidRPr="002E7C3E" w:rsidRDefault="00593E95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(art. 22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. (1</w:t>
      </w:r>
      <w:r w:rsidR="002E7C3E">
        <w:rPr>
          <w:rFonts w:ascii="Times New Roman" w:hAnsi="Times New Roman" w:cs="Times New Roman"/>
          <w:sz w:val="28"/>
          <w:szCs w:val="28"/>
        </w:rPr>
        <w:t>)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92/2007)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asumă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nemijlocit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sarcinile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responsabilităţile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funcţionării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local, precum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>”</w:t>
      </w:r>
      <w:r w:rsidR="001119B3">
        <w:rPr>
          <w:rFonts w:ascii="Times New Roman" w:hAnsi="Times New Roman" w:cs="Times New Roman"/>
          <w:sz w:val="28"/>
          <w:szCs w:val="28"/>
        </w:rPr>
        <w:t>.</w:t>
      </w:r>
    </w:p>
    <w:p w14:paraId="7849AB36" w14:textId="0505CF33" w:rsidR="002E7C3E" w:rsidRDefault="00A22454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parcurgerea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concurenţ</w:t>
      </w:r>
      <w:r w:rsidR="002E7C3E">
        <w:rPr>
          <w:rFonts w:ascii="Times New Roman" w:hAnsi="Times New Roman" w:cs="Times New Roman"/>
          <w:sz w:val="28"/>
          <w:szCs w:val="28"/>
        </w:rPr>
        <w:t>i</w:t>
      </w:r>
      <w:r w:rsidR="002E7C3E" w:rsidRPr="002E7C3E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încredinţarea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entităţi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sub una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3A2E94" w14:textId="5FED308E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</w:t>
      </w:r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personalitate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înfiinţate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subordinea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consiliilor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deliberative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administrativ-teritoria</w:t>
      </w:r>
      <w:r w:rsidR="001119B3">
        <w:rPr>
          <w:rFonts w:ascii="Times New Roman" w:hAnsi="Times New Roman" w:cs="Times New Roman"/>
          <w:sz w:val="28"/>
          <w:szCs w:val="28"/>
        </w:rPr>
        <w:t>l</w:t>
      </w:r>
      <w:r w:rsidRPr="002E7C3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respective; </w:t>
      </w:r>
    </w:p>
    <w:p w14:paraId="7C19B642" w14:textId="49E7DCA9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societăţi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societăţilor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31/1990,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la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capital social nu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formelor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respectiva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administrativ-teritorială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veto; </w:t>
      </w:r>
    </w:p>
    <w:p w14:paraId="017201A9" w14:textId="128504C3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regionali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cum sunt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definiţi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art. 2 </w:t>
      </w:r>
      <w:r w:rsidR="00D23159">
        <w:rPr>
          <w:rFonts w:ascii="Times New Roman" w:hAnsi="Times New Roman" w:cs="Times New Roman"/>
          <w:sz w:val="28"/>
          <w:szCs w:val="28"/>
        </w:rPr>
        <w:t>lit. h) di</w:t>
      </w:r>
      <w:r w:rsidRPr="002E7C3E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51/2006,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119B3">
        <w:rPr>
          <w:rFonts w:ascii="Times New Roman" w:hAnsi="Times New Roman" w:cs="Times New Roman"/>
          <w:sz w:val="28"/>
          <w:szCs w:val="28"/>
        </w:rPr>
        <w:t>.</w:t>
      </w:r>
    </w:p>
    <w:p w14:paraId="0DB6514B" w14:textId="77777777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sferei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intern (art. 22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(4)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</w:t>
      </w:r>
      <w:r w:rsidR="00D23159">
        <w:rPr>
          <w:rFonts w:ascii="Times New Roman" w:hAnsi="Times New Roman" w:cs="Times New Roman"/>
          <w:sz w:val="28"/>
          <w:szCs w:val="28"/>
        </w:rPr>
        <w:t xml:space="preserve">) face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trimitere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l</w:t>
      </w:r>
      <w:r w:rsidRPr="002E7C3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(CE) nr. 1370/2007,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stabilind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un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(4) - (6)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</w:t>
      </w:r>
    </w:p>
    <w:p w14:paraId="265953C2" w14:textId="77777777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lastRenderedPageBreak/>
        <w:t>Autoritatea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:</w:t>
      </w:r>
    </w:p>
    <w:p w14:paraId="4BEF1095" w14:textId="6ED39D2B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a)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decide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furnizeze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însăşi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distinctă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exercit</w:t>
      </w:r>
      <w:r w:rsidR="001119B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un control similar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propriilor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departamente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</w:t>
      </w:r>
      <w:r w:rsidR="00D23159">
        <w:rPr>
          <w:rFonts w:ascii="Times New Roman" w:hAnsi="Times New Roman" w:cs="Times New Roman"/>
          <w:sz w:val="28"/>
          <w:szCs w:val="28"/>
        </w:rPr>
        <w:t>)</w:t>
      </w:r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2D5BF0D2" w14:textId="36BB5AD8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b)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1.000.000 de euro,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300</w:t>
      </w:r>
      <w:r w:rsidR="00D23159">
        <w:rPr>
          <w:rFonts w:ascii="Times New Roman" w:hAnsi="Times New Roman" w:cs="Times New Roman"/>
          <w:sz w:val="28"/>
          <w:szCs w:val="28"/>
        </w:rPr>
        <w:t>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kilometri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precizarea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mod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întreprinderi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exploatează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23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vehicule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maxime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majorate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fie la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</w:t>
      </w:r>
      <w:r w:rsidR="00D23159">
        <w:rPr>
          <w:rFonts w:ascii="Times New Roman" w:hAnsi="Times New Roman" w:cs="Times New Roman"/>
          <w:sz w:val="28"/>
          <w:szCs w:val="28"/>
        </w:rPr>
        <w:t>ală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de 2.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000.000 de euro, fie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</w:t>
      </w:r>
      <w:r w:rsidR="001119B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600</w:t>
      </w:r>
      <w:r w:rsidR="00D23159">
        <w:rPr>
          <w:rFonts w:ascii="Times New Roman" w:hAnsi="Times New Roman" w:cs="Times New Roman"/>
          <w:sz w:val="28"/>
          <w:szCs w:val="28"/>
        </w:rPr>
        <w:t>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kilometri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(4)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1370/2007);</w:t>
      </w:r>
    </w:p>
    <w:p w14:paraId="3B326B6D" w14:textId="4C98EAD5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c)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</w:t>
      </w:r>
      <w:r w:rsidR="001119B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formal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prelungire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pe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maximă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2 ani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(5)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1370/2010</w:t>
      </w:r>
      <w:r w:rsidR="00D23159">
        <w:rPr>
          <w:rFonts w:ascii="Times New Roman" w:hAnsi="Times New Roman" w:cs="Times New Roman"/>
          <w:sz w:val="28"/>
          <w:szCs w:val="28"/>
        </w:rPr>
        <w:t>)</w:t>
      </w:r>
      <w:r w:rsidRPr="002E7C3E">
        <w:rPr>
          <w:rFonts w:ascii="Times New Roman" w:hAnsi="Times New Roman" w:cs="Times New Roman"/>
          <w:sz w:val="28"/>
          <w:szCs w:val="28"/>
        </w:rPr>
        <w:t>.</w:t>
      </w:r>
    </w:p>
    <w:p w14:paraId="185004D9" w14:textId="59F718A0" w:rsidR="002E7C3E" w:rsidRPr="002E7C3E" w:rsidRDefault="001119B3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, art</w:t>
      </w:r>
      <w:r w:rsidR="007B71BD">
        <w:rPr>
          <w:rFonts w:ascii="Times New Roman" w:hAnsi="Times New Roman" w:cs="Times New Roman"/>
          <w:sz w:val="28"/>
          <w:szCs w:val="28"/>
        </w:rPr>
        <w:t>.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23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92/2007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precizează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51/2006. Art. 2 lit. e)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</w:t>
      </w:r>
      <w:r w:rsidR="007B71BD">
        <w:rPr>
          <w:rFonts w:ascii="Times New Roman" w:hAnsi="Times New Roman" w:cs="Times New Roman"/>
          <w:sz w:val="28"/>
          <w:szCs w:val="28"/>
        </w:rPr>
        <w:t>.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51/2006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defineşte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acţiunea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administrativ-teritorială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multor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</w:t>
      </w:r>
      <w:r w:rsidR="007B71BD">
        <w:rPr>
          <w:rFonts w:ascii="Times New Roman" w:hAnsi="Times New Roman" w:cs="Times New Roman"/>
          <w:sz w:val="28"/>
          <w:szCs w:val="28"/>
        </w:rPr>
        <w:t>ă</w:t>
      </w:r>
      <w:r w:rsidR="002E7C3E" w:rsidRPr="002E7C3E">
        <w:rPr>
          <w:rFonts w:ascii="Times New Roman" w:hAnsi="Times New Roman" w:cs="Times New Roman"/>
          <w:sz w:val="28"/>
          <w:szCs w:val="28"/>
        </w:rPr>
        <w:t>rui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cărei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o are.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implică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propriu-zisă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punerea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/delegate, precum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exp</w:t>
      </w:r>
      <w:r w:rsidR="007B71BD">
        <w:rPr>
          <w:rFonts w:ascii="Times New Roman" w:hAnsi="Times New Roman" w:cs="Times New Roman"/>
          <w:sz w:val="28"/>
          <w:szCs w:val="28"/>
        </w:rPr>
        <w:t>l</w:t>
      </w:r>
      <w:r w:rsidR="002E7C3E" w:rsidRPr="002E7C3E">
        <w:rPr>
          <w:rFonts w:ascii="Times New Roman" w:hAnsi="Times New Roman" w:cs="Times New Roman"/>
          <w:sz w:val="28"/>
          <w:szCs w:val="28"/>
        </w:rPr>
        <w:t>oata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."</w:t>
      </w:r>
    </w:p>
    <w:p w14:paraId="50D6C0EA" w14:textId="6C46D8F2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art. 23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de tip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art. 29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 (8) l</w:t>
      </w:r>
      <w:r w:rsidR="00D23159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 xml:space="preserve">t. b)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51/2006,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efectuate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troleibuze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D231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tramvaie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asociaţiile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intercomunitar</w:t>
      </w:r>
      <w:r w:rsidR="007B71BD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asociere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</w:t>
      </w:r>
      <w:r w:rsidR="007B71BD">
        <w:rPr>
          <w:rFonts w:ascii="Times New Roman" w:hAnsi="Times New Roman" w:cs="Times New Roman"/>
          <w:sz w:val="28"/>
          <w:szCs w:val="28"/>
        </w:rPr>
        <w:t>ini</w:t>
      </w:r>
      <w:r w:rsidRPr="002E7C3E">
        <w:rPr>
          <w:rFonts w:ascii="Times New Roman" w:hAnsi="Times New Roman" w:cs="Times New Roman"/>
          <w:sz w:val="28"/>
          <w:szCs w:val="28"/>
        </w:rPr>
        <w:t>strat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v-teritoriale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 scop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local, conform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nr, 98/2016,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lastRenderedPageBreak/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99/2016,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."</w:t>
      </w:r>
    </w:p>
    <w:p w14:paraId="59B3A0CE" w14:textId="158BAEA8" w:rsidR="002E7C3E" w:rsidRDefault="007B71B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competitive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art. 5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. (3)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1370/2007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competitivă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echitabilă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principiile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transparenţei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nediscriminării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eventualei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etape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preselecţte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negocieri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principii,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optim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îndeplini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cerinţe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complexe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0B80F" w14:textId="77777777" w:rsidR="00A22454" w:rsidRPr="00482D1E" w:rsidRDefault="00A22454" w:rsidP="00707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1378E7" w14:textId="7CDB81BF" w:rsidR="00D23159" w:rsidRPr="00C0170D" w:rsidRDefault="00482D1E" w:rsidP="00C01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r w:rsidRPr="00482D1E">
        <w:rPr>
          <w:rFonts w:ascii="Times New Roman" w:hAnsi="Times New Roman" w:cs="Times New Roman"/>
          <w:sz w:val="28"/>
          <w:szCs w:val="28"/>
        </w:rPr>
        <w:tab/>
      </w:r>
      <w:r w:rsidR="00D23159">
        <w:rPr>
          <w:rFonts w:ascii="Times New Roman" w:hAnsi="Times New Roman" w:cs="Times New Roman"/>
          <w:b/>
          <w:sz w:val="28"/>
          <w:szCs w:val="28"/>
        </w:rPr>
        <w:t>F</w:t>
      </w:r>
      <w:r w:rsidRPr="00C302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Motivele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ordin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economic,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financiar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social </w:t>
      </w:r>
      <w:proofErr w:type="spellStart"/>
      <w:r w:rsidR="007B71BD">
        <w:rPr>
          <w:rFonts w:ascii="Times New Roman" w:hAnsi="Times New Roman" w:cs="Times New Roman"/>
          <w:b/>
          <w:sz w:val="28"/>
          <w:szCs w:val="28"/>
        </w:rPr>
        <w:t>ș</w:t>
      </w:r>
      <w:r w:rsidRPr="00C302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care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justifică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alegerea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86865030"/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deleg</w:t>
      </w:r>
      <w:r w:rsidR="007B71BD">
        <w:rPr>
          <w:rFonts w:ascii="Times New Roman" w:hAnsi="Times New Roman" w:cs="Times New Roman"/>
          <w:b/>
          <w:sz w:val="28"/>
          <w:szCs w:val="28"/>
        </w:rPr>
        <w:t>ă</w:t>
      </w:r>
      <w:r w:rsidRPr="00C302D5">
        <w:rPr>
          <w:rFonts w:ascii="Times New Roman" w:hAnsi="Times New Roman" w:cs="Times New Roman"/>
          <w:b/>
          <w:sz w:val="28"/>
          <w:szCs w:val="28"/>
        </w:rPr>
        <w:t>rii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gestiunii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public de transport local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persoane</w:t>
      </w:r>
      <w:bookmarkEnd w:id="2"/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ab/>
      </w:r>
    </w:p>
    <w:p w14:paraId="37121EAB" w14:textId="457C3225" w:rsidR="00D23159" w:rsidRPr="00D23159" w:rsidRDefault="007B71B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D23159" w:rsidRPr="00D2315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deliberative a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S</w:t>
      </w:r>
      <w:r w:rsidR="00D23159" w:rsidRPr="00D23159">
        <w:rPr>
          <w:rFonts w:ascii="Times New Roman" w:hAnsi="Times New Roman" w:cs="Times New Roman"/>
          <w:sz w:val="28"/>
          <w:szCs w:val="28"/>
        </w:rPr>
        <w:t>erviciul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M</w:t>
      </w:r>
      <w:r w:rsidR="00D23159" w:rsidRPr="00D23159">
        <w:rPr>
          <w:rFonts w:ascii="Times New Roman" w:hAnsi="Times New Roman" w:cs="Times New Roman"/>
          <w:sz w:val="28"/>
          <w:szCs w:val="28"/>
        </w:rPr>
        <w:t>unicipiul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un operator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r w:rsidR="00D23159">
        <w:rPr>
          <w:rFonts w:ascii="Times New Roman" w:hAnsi="Times New Roman" w:cs="Times New Roman"/>
          <w:sz w:val="28"/>
          <w:szCs w:val="28"/>
        </w:rPr>
        <w:t>MANUCU</w:t>
      </w:r>
      <w:r w:rsidR="00D23159" w:rsidRPr="00D23159">
        <w:rPr>
          <w:rFonts w:ascii="Times New Roman" w:hAnsi="Times New Roman" w:cs="Times New Roman"/>
          <w:sz w:val="28"/>
          <w:szCs w:val="28"/>
        </w:rPr>
        <w:t xml:space="preserve"> S.R.L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F5D69" w14:textId="4CAF7714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215299"/>
      <w:proofErr w:type="spellStart"/>
      <w:r w:rsidRPr="00D2315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1BD">
        <w:rPr>
          <w:rFonts w:ascii="Times New Roman" w:hAnsi="Times New Roman" w:cs="Times New Roman"/>
          <w:sz w:val="28"/>
          <w:szCs w:val="28"/>
        </w:rPr>
        <w:t>î</w:t>
      </w:r>
      <w:r w:rsidRPr="00D2315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economico-f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23159">
        <w:rPr>
          <w:rFonts w:ascii="Times New Roman" w:hAnsi="Times New Roman" w:cs="Times New Roman"/>
          <w:sz w:val="28"/>
          <w:szCs w:val="28"/>
        </w:rPr>
        <w:t>nan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D2315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administrării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recomandă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competitive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D1F7670" w14:textId="370863D1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</w:t>
      </w:r>
      <w:r w:rsidR="007B71B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reglement</w:t>
      </w:r>
      <w:r w:rsidR="007B71B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2B0F72BE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structurii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</w:t>
      </w:r>
      <w:r w:rsidRPr="00D23159">
        <w:rPr>
          <w:rFonts w:ascii="Times New Roman" w:hAnsi="Times New Roman" w:cs="Times New Roman"/>
          <w:sz w:val="28"/>
          <w:szCs w:val="28"/>
        </w:rPr>
        <w:t xml:space="preserve">c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complexe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0AB1A484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acţionar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acţionar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majoritar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societăţi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aibă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transporturi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5C0105FD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59">
        <w:rPr>
          <w:rFonts w:ascii="Times New Roman" w:hAnsi="Times New Roman" w:cs="Times New Roman"/>
          <w:sz w:val="28"/>
          <w:szCs w:val="28"/>
        </w:rPr>
        <w:t xml:space="preserve">Nu s-a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reclame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p w14:paraId="2E4F90EE" w14:textId="3B95F10F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economic</w:t>
      </w:r>
      <w:r w:rsidR="007B71BD">
        <w:rPr>
          <w:rFonts w:ascii="Times New Roman" w:hAnsi="Times New Roman" w:cs="Times New Roman"/>
          <w:sz w:val="28"/>
          <w:szCs w:val="28"/>
        </w:rPr>
        <w:t>o</w:t>
      </w:r>
      <w:r w:rsidRPr="00D23159">
        <w:rPr>
          <w:rFonts w:ascii="Times New Roman" w:hAnsi="Times New Roman" w:cs="Times New Roman"/>
          <w:sz w:val="28"/>
          <w:szCs w:val="28"/>
        </w:rPr>
        <w:t>-financiare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3D77C205" w14:textId="78D16C77" w:rsidR="00D23159" w:rsidRPr="00D23159" w:rsidRDefault="00D23159" w:rsidP="00A22454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6659179"/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bookmarkEnd w:id="4"/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implica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achiziţionarea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dotărilor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logistică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, etc.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3159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. </w:t>
      </w:r>
      <w:r w:rsidR="00BA3024">
        <w:rPr>
          <w:rFonts w:ascii="Times New Roman" w:hAnsi="Times New Roman" w:cs="Times New Roman"/>
          <w:sz w:val="28"/>
          <w:szCs w:val="28"/>
        </w:rPr>
        <w:t>O</w:t>
      </w:r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justifică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55"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DD7155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55"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p w14:paraId="365AFF33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socia</w:t>
      </w:r>
      <w:r w:rsidR="00BA3024">
        <w:rPr>
          <w:rFonts w:ascii="Times New Roman" w:hAnsi="Times New Roman" w:cs="Times New Roman"/>
          <w:sz w:val="28"/>
          <w:szCs w:val="28"/>
        </w:rPr>
        <w:t>l</w:t>
      </w:r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5BFD2902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printr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concurenţială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potenţialilor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ofertanţi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competiţie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selectarea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1A1B17A2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apl</w:t>
      </w:r>
      <w:r w:rsidR="00BA3024">
        <w:rPr>
          <w:rFonts w:ascii="Times New Roman" w:hAnsi="Times New Roman" w:cs="Times New Roman"/>
          <w:sz w:val="28"/>
          <w:szCs w:val="28"/>
        </w:rPr>
        <w:t>icarea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concurenţi</w:t>
      </w:r>
      <w:r w:rsidRPr="00D23159">
        <w:rPr>
          <w:rFonts w:ascii="Times New Roman" w:hAnsi="Times New Roman" w:cs="Times New Roman"/>
          <w:sz w:val="28"/>
          <w:szCs w:val="28"/>
        </w:rPr>
        <w:t>a</w:t>
      </w:r>
      <w:r w:rsidR="00BA3024">
        <w:rPr>
          <w:rFonts w:ascii="Times New Roman" w:hAnsi="Times New Roman" w:cs="Times New Roman"/>
          <w:sz w:val="28"/>
          <w:szCs w:val="28"/>
        </w:rPr>
        <w:t>l</w:t>
      </w:r>
      <w:r w:rsidRPr="00D23159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factori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conducă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polu</w:t>
      </w:r>
      <w:r w:rsidR="00BA302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implicit, l</w:t>
      </w:r>
      <w:r w:rsidRPr="00D2315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îmbunătăţirea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1C665687" w14:textId="23429EA7" w:rsid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efi</w:t>
      </w:r>
      <w:r w:rsidR="007B71BD">
        <w:rPr>
          <w:rFonts w:ascii="Times New Roman" w:hAnsi="Times New Roman" w:cs="Times New Roman"/>
          <w:sz w:val="28"/>
          <w:szCs w:val="28"/>
        </w:rPr>
        <w:t>c</w:t>
      </w:r>
      <w:r w:rsidRPr="00D23159">
        <w:rPr>
          <w:rFonts w:ascii="Times New Roman" w:hAnsi="Times New Roman" w:cs="Times New Roman"/>
          <w:sz w:val="28"/>
          <w:szCs w:val="28"/>
        </w:rPr>
        <w:t>ientizarea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încurajează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metode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detrimentul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maşinilor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="007B71BD">
        <w:rPr>
          <w:rFonts w:ascii="Times New Roman" w:hAnsi="Times New Roman" w:cs="Times New Roman"/>
          <w:sz w:val="28"/>
          <w:szCs w:val="28"/>
        </w:rPr>
        <w:t>;</w:t>
      </w:r>
    </w:p>
    <w:p w14:paraId="1D12471F" w14:textId="28EF4687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monitorizeaz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constituire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clauze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lor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613F2E13" w14:textId="26833531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ncasa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redeven</w:t>
      </w:r>
      <w:r w:rsidR="00D91A7A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anual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indexa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func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indicele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infla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nregistrat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precedent (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comunicat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direc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statistic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)</w:t>
      </w:r>
      <w:r w:rsidR="00D91A7A">
        <w:rPr>
          <w:rFonts w:ascii="Times New Roman" w:hAnsi="Times New Roman" w:cs="Times New Roman"/>
          <w:sz w:val="28"/>
          <w:szCs w:val="28"/>
        </w:rPr>
        <w:t>;</w:t>
      </w:r>
    </w:p>
    <w:p w14:paraId="4FD7897C" w14:textId="68A03E29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desf</w:t>
      </w:r>
      <w:r w:rsidR="00D91A7A">
        <w:rPr>
          <w:rFonts w:ascii="Times New Roman" w:hAnsi="Times New Roman" w:cs="Times New Roman"/>
          <w:sz w:val="28"/>
          <w:szCs w:val="28"/>
        </w:rPr>
        <w:t>ăș</w:t>
      </w:r>
      <w:r w:rsidR="00482D1E" w:rsidRPr="00482D1E">
        <w:rPr>
          <w:rFonts w:ascii="Times New Roman" w:hAnsi="Times New Roman" w:cs="Times New Roman"/>
          <w:sz w:val="28"/>
          <w:szCs w:val="28"/>
        </w:rPr>
        <w:t>urat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delegatar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tori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regulat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="001A3D9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A3D94">
        <w:rPr>
          <w:rFonts w:ascii="Times New Roman" w:hAnsi="Times New Roman" w:cs="Times New Roman"/>
          <w:sz w:val="28"/>
          <w:szCs w:val="28"/>
        </w:rPr>
        <w:t>microbuze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are o mare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importan</w:t>
      </w:r>
      <w:r w:rsidR="00D91A7A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social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asigur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cet</w:t>
      </w:r>
      <w:r w:rsidR="00D91A7A">
        <w:rPr>
          <w:rFonts w:ascii="Times New Roman" w:hAnsi="Times New Roman" w:cs="Times New Roman"/>
          <w:sz w:val="28"/>
          <w:szCs w:val="28"/>
        </w:rPr>
        <w:t>ăț</w:t>
      </w:r>
      <w:r w:rsidR="00482D1E" w:rsidRPr="00482D1E">
        <w:rPr>
          <w:rFonts w:ascii="Times New Roman" w:hAnsi="Times New Roman" w:cs="Times New Roman"/>
          <w:sz w:val="28"/>
          <w:szCs w:val="28"/>
        </w:rPr>
        <w:t>enilor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institu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zonele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agrement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colile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;</w:t>
      </w:r>
    </w:p>
    <w:p w14:paraId="1AC23A2F" w14:textId="289F3CD6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adjudec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licita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trebui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acorde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aten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deosebit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D94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="001A3D94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dispozitive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antipoluante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.</w:t>
      </w:r>
    </w:p>
    <w:p w14:paraId="283ED246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Datorită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oportună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câştiga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traseele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3C8C" w14:textId="77777777" w:rsidR="00A36C03" w:rsidRDefault="00A36C03" w:rsidP="00A224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59FEC" w14:textId="77F941C6" w:rsidR="00482D1E" w:rsidRPr="00C302D5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Nivelul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 minim al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redevenţei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după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caz</w:t>
      </w:r>
      <w:proofErr w:type="spellEnd"/>
    </w:p>
    <w:p w14:paraId="70E161EF" w14:textId="03E884D4" w:rsidR="005445B5" w:rsidRPr="007D56B7" w:rsidRDefault="00ED619A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art. 4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1 lit. c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nr. 1370/2007 CE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feroviar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modalitățile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alocare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pot include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special,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cu personal,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redevențele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reparațiile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materialul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rulant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instalațiile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fixe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rentabilitate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adecvată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>.</w:t>
      </w:r>
    </w:p>
    <w:p w14:paraId="11A4E812" w14:textId="18DF9307" w:rsidR="00482D1E" w:rsidRPr="00707948" w:rsidRDefault="005445B5" w:rsidP="00A224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delegatarului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final recuperate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utilizatori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regăsindu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practicate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impact social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mic,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concordanță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recomandă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redevenței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un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r w:rsidR="00EC1F46" w:rsidRPr="007D56B7">
        <w:rPr>
          <w:rFonts w:ascii="Times New Roman" w:hAnsi="Times New Roman" w:cs="Times New Roman"/>
          <w:sz w:val="28"/>
          <w:szCs w:val="28"/>
        </w:rPr>
        <w:t>35000 lei/an</w:t>
      </w:r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ED619A" w:rsidRPr="007D56B7">
        <w:rPr>
          <w:rFonts w:ascii="Times New Roman" w:hAnsi="Times New Roman" w:cs="Times New Roman"/>
          <w:sz w:val="28"/>
          <w:szCs w:val="28"/>
        </w:rPr>
        <w:t>.</w:t>
      </w:r>
      <w:r w:rsidR="0029512C" w:rsidRPr="007D56B7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="0029512C" w:rsidRPr="007D56B7">
        <w:rPr>
          <w:rFonts w:ascii="Times New Roman" w:hAnsi="Times New Roman" w:cs="Times New Roman"/>
          <w:sz w:val="28"/>
          <w:szCs w:val="28"/>
          <w:lang w:val="ro-RO"/>
        </w:rPr>
        <w:lastRenderedPageBreak/>
        <w:t>Redevența va fi indexată anual cu rata inflației publicată de Institutul Național de Statistică.</w:t>
      </w:r>
      <w:r w:rsidR="000E5BC0" w:rsidRPr="007D56B7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Pentru nerespectarea termenului de plată a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redevenţei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, Operatorul datorează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Autorităţii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contractante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penalităţi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de întârziere de 0,01%/zi</w:t>
      </w:r>
      <w:r w:rsidR="000E5BC0" w:rsidRPr="007D56B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la suma datorată, în conformitate cu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legislaţia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în vigoare.</w:t>
      </w:r>
    </w:p>
    <w:p w14:paraId="453008DD" w14:textId="2250215E" w:rsidR="0029512C" w:rsidRPr="007D56B7" w:rsidRDefault="0029512C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67AB04" w14:textId="77777777" w:rsidR="00482D1E" w:rsidRPr="007D56B7" w:rsidRDefault="00482D1E" w:rsidP="00A22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sz w:val="28"/>
          <w:szCs w:val="28"/>
        </w:rPr>
        <w:tab/>
      </w:r>
      <w:r w:rsidR="00BA3024" w:rsidRPr="007D56B7">
        <w:rPr>
          <w:rFonts w:ascii="Times New Roman" w:hAnsi="Times New Roman" w:cs="Times New Roman"/>
          <w:b/>
          <w:sz w:val="28"/>
          <w:szCs w:val="28"/>
        </w:rPr>
        <w:t>H</w:t>
      </w:r>
      <w:r w:rsidRPr="007D56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estimată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delegare</w:t>
      </w:r>
      <w:proofErr w:type="spellEnd"/>
    </w:p>
    <w:p w14:paraId="6A18A64C" w14:textId="3709A87A" w:rsidR="00BA3024" w:rsidRPr="00BA3024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reglementărilor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maxim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</w:t>
      </w:r>
      <w:r w:rsidR="00B32E12" w:rsidRPr="007D56B7">
        <w:rPr>
          <w:rFonts w:ascii="Times New Roman" w:hAnsi="Times New Roman" w:cs="Times New Roman"/>
          <w:sz w:val="28"/>
          <w:szCs w:val="28"/>
        </w:rPr>
        <w:t>agă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r w:rsidR="0087492B" w:rsidRPr="007D56B7">
        <w:rPr>
          <w:rFonts w:ascii="Times New Roman" w:hAnsi="Times New Roman" w:cs="Times New Roman"/>
          <w:sz w:val="28"/>
          <w:szCs w:val="28"/>
        </w:rPr>
        <w:t>10</w:t>
      </w:r>
      <w:r w:rsidRPr="007D56B7">
        <w:rPr>
          <w:rFonts w:ascii="Times New Roman" w:hAnsi="Times New Roman" w:cs="Times New Roman"/>
          <w:sz w:val="28"/>
          <w:szCs w:val="28"/>
        </w:rPr>
        <w:t xml:space="preserve"> ani</w:t>
      </w:r>
      <w:r w:rsidR="002567AD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7AD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art. 28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>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(1) lit. a) din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nr. 92/2007 a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2567AD">
        <w:rPr>
          <w:rFonts w:ascii="Times New Roman" w:hAnsi="Times New Roman" w:cs="Times New Roman"/>
          <w:sz w:val="28"/>
          <w:szCs w:val="28"/>
        </w:rPr>
        <w:t>ș</w:t>
      </w:r>
      <w:r w:rsidR="002567AD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art.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567AD">
        <w:rPr>
          <w:rFonts w:ascii="Times New Roman" w:hAnsi="Times New Roman" w:cs="Times New Roman"/>
          <w:sz w:val="28"/>
          <w:szCs w:val="28"/>
        </w:rPr>
        <w:t>.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 (3) din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CE nr.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>1</w:t>
      </w:r>
      <w:r w:rsidR="002567AD">
        <w:rPr>
          <w:rFonts w:ascii="Times New Roman" w:hAnsi="Times New Roman" w:cs="Times New Roman"/>
          <w:sz w:val="28"/>
          <w:szCs w:val="28"/>
        </w:rPr>
        <w:t>.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370/2007 al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="002567AD">
        <w:rPr>
          <w:rFonts w:ascii="Times New Roman" w:hAnsi="Times New Roman" w:cs="Times New Roman"/>
          <w:sz w:val="28"/>
          <w:szCs w:val="28"/>
        </w:rPr>
        <w:t>ș</w:t>
      </w:r>
      <w:r w:rsidR="002567AD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din 23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2007. </w:t>
      </w:r>
    </w:p>
    <w:p w14:paraId="4EB0968A" w14:textId="7F1B0F5F" w:rsidR="00BA3024" w:rsidRPr="00BA3024" w:rsidRDefault="00B32E12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BA3024" w:rsidRPr="00BA30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premisele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actuale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public de transport,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caracteristică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de un operator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mijloacele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parcul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auto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deservire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Singurele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municipalităţii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predau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staţiile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>.</w:t>
      </w:r>
    </w:p>
    <w:p w14:paraId="48F8B950" w14:textId="08911363" w:rsidR="002567AD" w:rsidRDefault="002567A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motiv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încheia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derulării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fie de 6 ani, cu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intrarea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preconizată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loc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trimestrul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I al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2022.</w:t>
      </w:r>
    </w:p>
    <w:p w14:paraId="3DA37636" w14:textId="5D9D3AC5" w:rsidR="002567AD" w:rsidRPr="00482D1E" w:rsidRDefault="002567A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6864260"/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achiziționează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emisiilor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poluante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propulsie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expirare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fapt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stipulat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clauză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0B1">
        <w:rPr>
          <w:rFonts w:ascii="Times New Roman" w:hAnsi="Times New Roman" w:cs="Times New Roman"/>
          <w:sz w:val="28"/>
          <w:szCs w:val="28"/>
        </w:rPr>
        <w:t>C</w:t>
      </w:r>
      <w:r w:rsidR="004238A9" w:rsidRPr="007D56B7">
        <w:rPr>
          <w:rFonts w:ascii="Times New Roman" w:hAnsi="Times New Roman" w:cs="Times New Roman"/>
          <w:sz w:val="28"/>
          <w:szCs w:val="28"/>
        </w:rPr>
        <w:t>ontractul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4C5A0117" w14:textId="77777777" w:rsidR="00A36C03" w:rsidRDefault="00585A85" w:rsidP="00A22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8792ADC" w14:textId="0A3C74D0" w:rsidR="00BA3024" w:rsidRPr="00BA3024" w:rsidRDefault="00BA3024" w:rsidP="00A36C0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024">
        <w:rPr>
          <w:rFonts w:ascii="Times New Roman" w:hAnsi="Times New Roman" w:cs="Times New Roman"/>
          <w:b/>
          <w:sz w:val="28"/>
          <w:szCs w:val="28"/>
        </w:rPr>
        <w:t>I.</w:t>
      </w:r>
      <w:r w:rsidR="00482D1E" w:rsidRPr="00BA3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b/>
          <w:sz w:val="28"/>
          <w:szCs w:val="28"/>
        </w:rPr>
        <w:t>M</w:t>
      </w:r>
      <w:r w:rsidR="00585A85">
        <w:rPr>
          <w:rFonts w:ascii="Times New Roman" w:hAnsi="Times New Roman" w:cs="Times New Roman"/>
          <w:b/>
          <w:sz w:val="28"/>
          <w:szCs w:val="28"/>
        </w:rPr>
        <w:t>atricea</w:t>
      </w:r>
      <w:proofErr w:type="spellEnd"/>
      <w:r w:rsidR="00585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5A85">
        <w:rPr>
          <w:rFonts w:ascii="Times New Roman" w:hAnsi="Times New Roman" w:cs="Times New Roman"/>
          <w:b/>
          <w:sz w:val="28"/>
          <w:szCs w:val="28"/>
        </w:rPr>
        <w:t>riscurilor</w:t>
      </w:r>
      <w:proofErr w:type="spellEnd"/>
    </w:p>
    <w:p w14:paraId="2B6DEF33" w14:textId="76B19F31" w:rsid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particularităţile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curse regulate precum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reglementările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cum a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sus,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e</w:t>
      </w:r>
      <w:r w:rsidRPr="00BA3024">
        <w:rPr>
          <w:rFonts w:ascii="Times New Roman" w:hAnsi="Times New Roman" w:cs="Times New Roman"/>
          <w:sz w:val="28"/>
          <w:szCs w:val="28"/>
        </w:rPr>
        <w:t>ntitatea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riscurile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apară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transport public local,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repartiţia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e</w:t>
      </w:r>
      <w:r w:rsidRPr="00BA3024">
        <w:rPr>
          <w:rFonts w:ascii="Times New Roman" w:hAnsi="Times New Roman" w:cs="Times New Roman"/>
          <w:sz w:val="28"/>
          <w:szCs w:val="28"/>
        </w:rPr>
        <w:t>ntitatea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delegatar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economi</w:t>
      </w:r>
      <w:r w:rsidRPr="00BA3024">
        <w:rPr>
          <w:rFonts w:ascii="Times New Roman" w:hAnsi="Times New Roman" w:cs="Times New Roman"/>
          <w:sz w:val="28"/>
          <w:szCs w:val="28"/>
        </w:rPr>
        <w:t>c/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delegant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gestionare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>.</w:t>
      </w:r>
    </w:p>
    <w:p w14:paraId="10A9EA15" w14:textId="2D4A5325" w:rsidR="003343FC" w:rsidRDefault="003343FC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47CEC" w14:textId="05193258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D0DD2" w14:textId="33F7FF71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56D6" w14:textId="03831FD8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695B9D" w14:textId="5CEC6E13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7B926" w14:textId="5B96D65F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AE62F" w14:textId="6B4D7396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82B85" w14:textId="728A41B0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6FBDE" w14:textId="4FF94219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999BE" w14:textId="77777777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8AA97F" w14:textId="77777777" w:rsidR="00794AB2" w:rsidRDefault="00794AB2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46" w:type="dxa"/>
        <w:tblLook w:val="04A0" w:firstRow="1" w:lastRow="0" w:firstColumn="1" w:lastColumn="0" w:noHBand="0" w:noVBand="1"/>
      </w:tblPr>
      <w:tblGrid>
        <w:gridCol w:w="1447"/>
        <w:gridCol w:w="1956"/>
        <w:gridCol w:w="1918"/>
        <w:gridCol w:w="2379"/>
        <w:gridCol w:w="960"/>
        <w:gridCol w:w="1006"/>
        <w:gridCol w:w="954"/>
      </w:tblGrid>
      <w:tr w:rsidR="00CA1477" w:rsidRPr="00CA1477" w14:paraId="62621AE9" w14:textId="77777777" w:rsidTr="00CA1477">
        <w:trPr>
          <w:trHeight w:hRule="exact"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30A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Categoria de risc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2D5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Descriere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37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Consecinţe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59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Gestionare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EA3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Alocarea Riscului</w:t>
            </w:r>
          </w:p>
        </w:tc>
      </w:tr>
      <w:tr w:rsidR="00CA1477" w:rsidRPr="00CA1477" w14:paraId="14EFB590" w14:textId="77777777" w:rsidTr="00CA1477">
        <w:trPr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56E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CB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FA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D3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F4C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UAT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802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Operator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71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Comun</w:t>
            </w:r>
          </w:p>
        </w:tc>
      </w:tr>
      <w:tr w:rsidR="00CA1477" w:rsidRPr="00CA1477" w14:paraId="2E866B2F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0E2F" w14:textId="77777777" w:rsidR="00CA1477" w:rsidRPr="00CA1477" w:rsidRDefault="00CA1477" w:rsidP="0087492B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Riscuri de amplasament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F5B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5D9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C62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15351596" w14:textId="77777777" w:rsidTr="00CA1477">
        <w:trPr>
          <w:trHeight w:hRule="exact" w:val="15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B99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Structura existentă a infrastructurii de transport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0B8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Drumurile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străzile existente pe traseele pe care se efectuează transportul local sunt sau 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tendinţă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să se deterioreze rapid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0C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O uzura accentuata a mijloacelor de transport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majorarea costurilor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întreţinere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A34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Delegatarul, ca administrator al acestor străzi va lua toate măsurile necesare să 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menţină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bună stare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2D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857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04F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42EA646B" w14:textId="77777777" w:rsidTr="00CA1477">
        <w:trPr>
          <w:trHeight w:hRule="exact" w:val="3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CD65" w14:textId="77777777" w:rsidR="00CA1477" w:rsidRPr="00CA1477" w:rsidRDefault="00CA1477" w:rsidP="0087492B">
            <w:pPr>
              <w:spacing w:after="0" w:line="240" w:lineRule="auto"/>
              <w:ind w:firstLineChars="100" w:firstLine="19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Aspecte legate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finanţarea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contractului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747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75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722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521C4CEF" w14:textId="77777777" w:rsidTr="00CA1477">
        <w:trPr>
          <w:trHeight w:hRule="exact" w:val="20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339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Modificări de taxe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FB3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Pe parcursul contractului regimul de taxe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impozite se schimba în defavoarea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deîegantului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805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Impact negativ asupra veniturilor financiare ale delegantului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imposibilitatea asigurării serviciului la nivelul impus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54B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Stabilirea procentului ce îl reprezintă taxele si Impozitele din valoarea tarifului la fundamentarea acestuia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stabliîrea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modalităţii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de modificare a tarifului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proporţional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cu aceste modificări.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BDA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B35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09B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</w:tr>
      <w:tr w:rsidR="00CA1477" w:rsidRPr="00CA1477" w14:paraId="689CEC20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4C4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Operare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4FB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02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244647B7" w14:textId="77777777" w:rsidTr="00CA1477">
        <w:trPr>
          <w:trHeight w:val="27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7E3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reparare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23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Defectarea mijloacelor de transport mai des decât s-a luat in considerare ducând la cheltuieli mal mart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reparaţie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decât cele folosite la fundamentarea tarifelor de transport.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C45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costurilor de operare cu efecte negative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atat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calitatii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prestate prin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scaderea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mijloacelor de transport utilizate, cat si asupra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realizarii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investitiilor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planificate prin diminuarea profitului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obtinut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68C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a stabilit ca factor de evaluare „vechimea parcului de autovehicule* prin care se acorda cele mai mari punctaje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mijioacelor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transport cu o vechime cât mai mică, astfel încât să se diminueze probabilitatea de defectare a acestora peste limita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CF8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F03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782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69796F47" w14:textId="77777777" w:rsidTr="00CA1477">
        <w:trPr>
          <w:trHeight w:hRule="exact" w:val="3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0A8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B43B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nu poate efectua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prestaţiile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conform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0C3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imposibilitatea asigurării serviciului la nivelul specificat în caietul de sarcini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1FC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impune prin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documentaţia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atribuire (caietul de sarcini,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obligatorii)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să minimizeze riscurile de a nu mai putea fi prestate serviciile de către delegant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să examineze în detaliu încă din faza de ofertare, capacitatea viitorului delegant de a îndeplini cu succes contractul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E21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6D6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0B3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11F75483" w14:textId="77777777" w:rsidTr="00CA1477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E921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Piaţa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E3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386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30F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0C30F544" w14:textId="77777777" w:rsidTr="00CA1477">
        <w:trPr>
          <w:trHeight w:hRule="exact" w:val="21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D99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lastRenderedPageBreak/>
              <w:t>Schimbări demografice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51F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0 schimbare demografică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socio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- economica afectează cererea pentru serviciile delegate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6D7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Venituri sub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proiecţiile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financiare anterioare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F25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care să permită, de comun acord, modificarea prestării serviciului astfel încât acestea </w:t>
            </w:r>
            <w:r w:rsidRPr="00CA1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să </w:t>
            </w: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satisfacă cererea utilizatorilor finali, însă nu mai mult de 10% din valoarea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iniţiala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402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3A1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4BF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51AD987D" w14:textId="77777777" w:rsidTr="00CA1477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E8C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E12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Valoarea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plăţilor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în timp este afectată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4EB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Diminuarea în termeni reali a veniturilor din prestarea serviciului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AF3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în contract se prevede o modalitate de actualizare, ajustare a tarifelor pentru a compensa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4CF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741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12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7678E4FE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CCA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Risc legal si de politica a delegatarului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E2F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A50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BC3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7C911CDB" w14:textId="77777777" w:rsidTr="00CA1477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E21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Reglementarea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F23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Existenta unui cadru statutar de reglementari care vor afecta Delegantul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A60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Efect asupra costurilor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veniturilor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58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Delegantul evaluează sistemul de reglementari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fundamenteaza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108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400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04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13A1391A" w14:textId="77777777" w:rsidTr="00CA1477">
        <w:trPr>
          <w:trHeight w:val="21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0600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/sau de politici referitoare ia prestarea acestor servicii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255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delegatarului, care nu poate ii anticipată la semnarea contractului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adresată direct, specific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exclusiv prestării serviciului de transport, ceea ce conduce la costuri de capital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Delegantului,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21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in costurile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ale Delegantului si/sau necesitatea de a efectua cheltuieli de capital pentru a putea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schimbari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689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poate sa reducă răspunderea pentru astfel de schimbări prin monitorizarea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limitarea schimbărilor ce ar putea avea astfel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consecinţe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serviciului.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CA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AD9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143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62733363" w14:textId="77777777" w:rsidTr="00CA1477">
        <w:trPr>
          <w:trHeight w:hRule="exact" w:val="3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5C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si/sau de politica la nivel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3F4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la nivel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, care nu poate fi anticipata fa semnarea contractului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adresata direct sau se aplica indirect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de transport persoane, ceea ce conduce ia costuri de capital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Deiegantuluî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806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în costuri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operationaleale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delegantului si/sau necesitatea de a efectua cheltuieli de capital pentru a putea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schimbari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C1B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clauze care sa reglementeze cât mai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muite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asemenea modificări posibile: taxe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impozite,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etc.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67B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84B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208" w14:textId="77777777" w:rsidR="00551BDA" w:rsidRDefault="00551BDA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0FE5156A" w14:textId="43B7CEA9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54CBAA8E" w14:textId="77777777" w:rsidTr="00CA1477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396C" w14:textId="4041AC72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E9F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24D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4A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58FE4E7F" w14:textId="77777777" w:rsidTr="00CA1477">
        <w:trPr>
          <w:trHeight w:val="16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D98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2F5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 astfel cum este definita prin lege,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impiedica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realizarea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FC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Pierderea sau avarierea activelor proiectului si pierderea/diminuarea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posibilitatii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obtinere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 veniturilor preconizate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79F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Delegantul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masuri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implicate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serviciului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astfel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poata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reparate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inlocuite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scurt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timp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posibil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8F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A14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D4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A14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B98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</w:tbl>
    <w:p w14:paraId="2F1646AA" w14:textId="500104C3" w:rsidR="00CA1477" w:rsidRDefault="00CA1477" w:rsidP="0087492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52208AB9" w14:textId="77777777" w:rsidR="008C4F91" w:rsidRPr="00482D1E" w:rsidRDefault="008C4F91" w:rsidP="0087492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04A1AA26" w14:textId="0C305983" w:rsidR="00482D1E" w:rsidRPr="007D56B7" w:rsidRDefault="00585A85" w:rsidP="00794A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J. Strategia de contractare, criterii de calificare și selecție, criteriul de atribuire și factorii de evaluare</w:t>
      </w:r>
      <w:r w:rsidR="00C23FDF">
        <w:rPr>
          <w:rFonts w:ascii="Times New Roman" w:hAnsi="Times New Roman" w:cs="Times New Roman"/>
          <w:b/>
          <w:iCs/>
          <w:sz w:val="28"/>
          <w:szCs w:val="28"/>
          <w:lang w:val="ro-RO"/>
        </w:rPr>
        <w:t>, valoarea estimată a contractului</w:t>
      </w:r>
    </w:p>
    <w:p w14:paraId="2D7162AF" w14:textId="55EA4D99" w:rsidR="00D53B57" w:rsidRPr="007D56B7" w:rsidRDefault="00794AB2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</w:t>
      </w:r>
      <w:r w:rsidR="00D53B57" w:rsidRPr="007D5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strategiei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contractare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documentează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deciziile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etapa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planificare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fundamentare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concesiune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cu:</w:t>
      </w:r>
    </w:p>
    <w:p w14:paraId="71E3AE76" w14:textId="63BE4ABB" w:rsidR="00D53B57" w:rsidRPr="007D56B7" w:rsidRDefault="00D53B57" w:rsidP="00794AB2">
      <w:pPr>
        <w:numPr>
          <w:ilvl w:val="0"/>
          <w:numId w:val="4"/>
        </w:numPr>
        <w:spacing w:after="0"/>
        <w:ind w:left="0" w:firstLine="38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relaţia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dintre  obiectul,  constrângerile  asociate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complexitatea  contractului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resursele disponibile la nivel de entitate contractantă;</w:t>
      </w:r>
    </w:p>
    <w:p w14:paraId="46A8CB5E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contractul  de  concesiune  propus,  durata  contractului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modalitatea  de  îndeplinire  a acestuia;</w:t>
      </w:r>
    </w:p>
    <w:p w14:paraId="548EC192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mecanismele de plată în cadrul contractului, alocarea riscurilor în cadrul acestuia, măsuri de gestionare    a    riscurilor,    stabilirea 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penalităţilor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pentru    neîndeplinirea    sau    îndeplinirea defectuoasă a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obligaţiilor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contractuale;</w:t>
      </w:r>
    </w:p>
    <w:p w14:paraId="65064F67" w14:textId="1232FF03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justificările  privind  determinarea  valorii  estimate  a  contractului/acordului-cadru,  precum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orice  alte  elemente  legate  de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obţinerea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de  beneficii  pentru  entitatea  contractantă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îndeplinirea   obiectivelor   comunicate   la   nivelul   sectorului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administraţiei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publice   în   care activează entitatea contractantă;</w:t>
      </w:r>
    </w:p>
    <w:p w14:paraId="3E2100D4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criteriile  de  calificare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selecţie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ce  urmează  a  fi utilizate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caracteristicile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pieţei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căreia se adresează concesiunea;</w:t>
      </w:r>
    </w:p>
    <w:p w14:paraId="132999C3" w14:textId="77777777" w:rsidR="00D53B57" w:rsidRPr="007D56B7" w:rsidRDefault="00D53B57" w:rsidP="00A224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criteriile de atribuire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ponderile alocate acestora;</w:t>
      </w:r>
    </w:p>
    <w:p w14:paraId="3DFC9206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orice  alte  elemente  legate  de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obţinerea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de  beneficii  pentru  entitatea  contractantă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îndeplinirea   obiectivelor   comunicate   la   nivelul   sectorului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administraţiei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publice   în   care activează entitatea contractantă;</w:t>
      </w:r>
    </w:p>
    <w:p w14:paraId="1D7AD543" w14:textId="77777777" w:rsidR="00D53B57" w:rsidRPr="007D56B7" w:rsidRDefault="00D53B57" w:rsidP="00A224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alte elemente relevante pentru îndeplinirea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necesităţii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entităţii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contractante.</w:t>
      </w:r>
    </w:p>
    <w:p w14:paraId="0C542018" w14:textId="058558D1" w:rsidR="00D53B57" w:rsidRPr="007D56B7" w:rsidRDefault="00D53B57" w:rsidP="00A2245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Strategia de contractare este un document al fiecărei proceduri de atribuire a unui contract de </w:t>
      </w:r>
      <w:r w:rsidR="002D052C"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delegare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iniţiate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entitatea contractantă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este subiect de evaluare a ANAP, împreună cu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atribuire.</w:t>
      </w:r>
    </w:p>
    <w:p w14:paraId="000E9093" w14:textId="77777777" w:rsidR="00A36C03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</w:t>
      </w:r>
    </w:p>
    <w:p w14:paraId="61047F21" w14:textId="33E8ABAB" w:rsidR="00895CEB" w:rsidRPr="007D56B7" w:rsidRDefault="00895CEB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 de atribuire/ factori de evaluare : </w:t>
      </w:r>
    </w:p>
    <w:p w14:paraId="52A1D3E4" w14:textId="7C7A36A1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 Potrivit reglementărilor art.4 a Ordinului Nr. 131/1401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/2019 din 17 aprilie 2019 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ără a fi afectate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dispoziţiile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din Legea nr. 98/2016, cu modificările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completările ulterioare, în cazul delegării gestiunii serviciului public de transport local sau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judeţean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persoane prin curse regulate, realizat cu autobuze, troleibuze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tramvaie, indiferent de valoarea estimată a contractului aferent care face obiectul unei proceduri de atribuire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desfăşurate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baza respectivei legi, entitatea contractantă utilizează unul dintre următoarele criterii de atribuire:</w:t>
      </w:r>
    </w:p>
    <w:p w14:paraId="254AC405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a) cel mai bun raport calitate-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404EC6C3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b)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preţul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cel mai scăzut.</w:t>
      </w:r>
    </w:p>
    <w:p w14:paraId="292C039A" w14:textId="224DA699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(2) În cazul delegării gestiunii serviciului public de transport local sau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judeţean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persoane prin curse regulate, entitatea contractantă utilizează, în aplicarea criteriului 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de atribuire prevăzut la alin. (1) lit. a), factorii de evaluare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prevăzuţi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la art. 231 alin. (5) din Legea nr. 92/2007, cu modificările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completările ulterioare."</w:t>
      </w:r>
    </w:p>
    <w:p w14:paraId="56F3F045" w14:textId="77777777" w:rsidR="00A36C03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</w:t>
      </w:r>
    </w:p>
    <w:p w14:paraId="1892FFD8" w14:textId="63D6BF83" w:rsidR="00895CEB" w:rsidRPr="00895CEB" w:rsidRDefault="00895CEB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Factorii de evaluare a ofertelor utilizați în aplicarea criteriului de atribuire, în serviciile de transport rutier de călători  sunt:</w:t>
      </w:r>
    </w:p>
    <w:p w14:paraId="5A6DAD3A" w14:textId="5521674B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a) vechimea medie a parcului de autobuze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/ microbuze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C9B66E8" w14:textId="7C29DBB5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b) clasificarea 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mijloacelor de transport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0C7AE25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c) nivelul tarifului;</w:t>
      </w:r>
    </w:p>
    <w:p w14:paraId="77708F70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d) dotarea cu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instalaţie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aer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condiţionat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43BBF43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e) capacitatea de transport;</w:t>
      </w:r>
    </w:p>
    <w:p w14:paraId="732545AD" w14:textId="5C61FCD8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f) norma de poluare a 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mijlocului de transport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67AD027F" w14:textId="5C37971A" w:rsid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g) utilizarea combustibililor alternativi, astfel cum sunt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definiţi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Legea nr. 34/2017 privind instalarea infrastructurii pentru combustibili alternativi.</w:t>
      </w:r>
    </w:p>
    <w:p w14:paraId="0882CBE1" w14:textId="77777777" w:rsidR="00A36C03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</w:t>
      </w:r>
    </w:p>
    <w:p w14:paraId="48413C6E" w14:textId="1CD4195C" w:rsidR="003F204A" w:rsidRPr="003F204A" w:rsidRDefault="003F204A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Fără a aduce atingere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dispoziţiilor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legale sau administrative privind remunerarea anumitor servicii, </w:t>
      </w:r>
      <w:r w:rsidR="00A36C03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-a bazat decizia de atribuire a contractului de delegare a gestiunii serviciului de transport public local de persoane, prin curse regulate, prin utilizarea criteriului de atribuire „cei mai bun raport calitate-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", precum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 factorilor de evaluare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prevăzuţi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atribuire, factori care includ aspecte calitative, de mediu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sociale în legătură directă, obiectivă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relevantă cu obiectul contractului.</w:t>
      </w:r>
    </w:p>
    <w:p w14:paraId="09B8215B" w14:textId="0934EF72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 stabilirea factorilor de evaluare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utilizaţi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determinarea ofertei celei mai avantajoase din punct de vedere economic în baza criteriului de atribuire cel mai bun raport calitate-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</w:p>
    <w:p w14:paraId="77E447EB" w14:textId="2EE2091F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Astfel, în stabilirea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justificarea factorilor de evaluare, entitatea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urmăreşte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îndeplinirea cumulativă a următoarelor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condiţii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0BA7F47E" w14:textId="35025763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au ca scop identificarea ofertei celei mai avantajoase din punct de vedere economic, au legătură directă cu obiectul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natura contractului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reprezintă un avantaj pe care entitatea contractantă îl poate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prin utilizarea factorului respectiv;</w:t>
      </w:r>
    </w:p>
    <w:p w14:paraId="455B2B76" w14:textId="62380476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nu conferă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entităţii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contractante o libertate de stabilire 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câştigătorului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nelimitată, întrucât la baza deciziei de atribuire s-a stabilit un set bine determinat de criterii obiective, care sunt atât calitative cât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cantitative;</w:t>
      </w:r>
    </w:p>
    <w:p w14:paraId="559F35B8" w14:textId="7536C9F8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s-au stabilit în conformitate cu reglementările, între acestea fiind induse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reglementările privitoare la publicitate, astfel că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aceşti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factori sunt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menţionaţi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atribuire, operatorii economici având posibilitatea să ia la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cunoştinţă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existenţa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scopul acestora;</w:t>
      </w:r>
    </w:p>
    <w:p w14:paraId="57DCA43E" w14:textId="1889B7D1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sunt cuantificabili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relevanţi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respectă principiile fundamentale ale dreptului comunitar, în special principiul nediscriminării,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aşa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cum 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rezultă acesta din prevederile Tratatului referitoare la dreptul de stabilire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libertate de a presta servicii.</w:t>
      </w:r>
    </w:p>
    <w:p w14:paraId="4695B48B" w14:textId="16AB7CDE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</w:t>
      </w:r>
    </w:p>
    <w:p w14:paraId="783C000D" w14:textId="5BDF578B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I. </w:t>
      </w:r>
      <w:r w:rsidRPr="003F204A"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  <w:t>Factor de evaluare cu privire la componenta financiară a ofertei.</w:t>
      </w:r>
    </w:p>
    <w:p w14:paraId="30DADE79" w14:textId="7916A477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bookmarkStart w:id="6" w:name="_Hlk87032360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stabileşte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factorul de evaluare „</w:t>
      </w:r>
      <w:r w:rsidRPr="003F204A">
        <w:rPr>
          <w:rFonts w:ascii="Times New Roman" w:hAnsi="Times New Roman" w:cs="Times New Roman"/>
          <w:b/>
          <w:iCs/>
          <w:sz w:val="28"/>
          <w:szCs w:val="28"/>
          <w:lang w:val="ro-RO"/>
        </w:rPr>
        <w:t>prețul ofertei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" drept factor de evaluare de natură financiară.</w:t>
      </w:r>
    </w:p>
    <w:p w14:paraId="57958339" w14:textId="48321ECE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Punctajul maxim acordat pentru componenta financiară a ofertei reprezintă 50 % din ponderea criteriilor de atribuire.</w:t>
      </w:r>
    </w:p>
    <w:p w14:paraId="06948BBB" w14:textId="77777777" w:rsidR="006C17A6" w:rsidRPr="008C05BA" w:rsidRDefault="003F204A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Componentele factorului „prețul ofertei " sunt:</w:t>
      </w:r>
    </w:p>
    <w:p w14:paraId="0BC13D35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I. 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unei c</w:t>
      </w:r>
      <w:r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torii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 )</w:t>
      </w:r>
    </w:p>
    <w:p w14:paraId="0F55DD8B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Algoritm de calcul: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- punctajul pentru factorul de evaluare “tariful unei calatorii” se acorda astfel:</w:t>
      </w:r>
    </w:p>
    <w:p w14:paraId="6C20D551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unei calatorii se acorda punctajul maxim alocat factorului de evaluare, respectiv 25 puncte ;</w:t>
      </w:r>
    </w:p>
    <w:p w14:paraId="42A46AA1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389B7309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PT (n) = [tariful minim/tariful (n)] x 25. </w:t>
      </w:r>
    </w:p>
    <w:p w14:paraId="382B565F" w14:textId="77777777" w:rsidR="006C17A6" w:rsidRPr="00CE3127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Tariful maxim acceptat este de 3 lei/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calatorie</w:t>
      </w:r>
      <w:proofErr w:type="spellEnd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/persoană </w:t>
      </w:r>
    </w:p>
    <w:p w14:paraId="3761ED09" w14:textId="3E990439" w:rsidR="003F204A" w:rsidRPr="003F204A" w:rsidRDefault="003F204A" w:rsidP="006C17A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C5515E4" w14:textId="5DE91DD1" w:rsidR="006C17A6" w:rsidRPr="008C05BA" w:rsidRDefault="003F204A" w:rsidP="006C17A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bookmarkEnd w:id="6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</w:t>
      </w:r>
      <w:r w:rsidR="006C17A6" w:rsidRPr="000944A8">
        <w:rPr>
          <w:rFonts w:ascii="Times New Roman" w:hAnsi="Times New Roman"/>
          <w:b/>
          <w:iCs/>
          <w:sz w:val="28"/>
          <w:szCs w:val="28"/>
          <w:lang w:val="ro-RO"/>
        </w:rPr>
        <w:t>II.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6C17A6"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unui abonament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cu număr nelimitat de </w:t>
      </w:r>
      <w:proofErr w:type="spellStart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6C17A6">
        <w:rPr>
          <w:rFonts w:ascii="Times New Roman" w:hAnsi="Times New Roman"/>
          <w:bCs/>
          <w:iCs/>
          <w:sz w:val="28"/>
          <w:szCs w:val="28"/>
          <w:lang w:val="ro-RO"/>
        </w:rPr>
        <w:t>%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>)</w:t>
      </w:r>
    </w:p>
    <w:p w14:paraId="5735945C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Algoritm de calcul: PT - punctajul pentru factorul de evaluare “abonament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” se acorda astfel:</w:t>
      </w:r>
    </w:p>
    <w:p w14:paraId="3D8960AB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unui abonament se acorda punctajul maxim alocat factorului de evaluare, respectiv 25 puncte ; </w:t>
      </w:r>
    </w:p>
    <w:p w14:paraId="5A4E5264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09BBB11B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(n) = [tariful minim/tariful (n)] x 25.</w:t>
      </w:r>
    </w:p>
    <w:p w14:paraId="00860612" w14:textId="77777777" w:rsidR="006C17A6" w:rsidRPr="00CE3127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12"/>
          <w:szCs w:val="12"/>
          <w:lang w:val="ro-RO"/>
        </w:rPr>
      </w:pPr>
    </w:p>
    <w:p w14:paraId="30A388ED" w14:textId="77777777" w:rsidR="006C17A6" w:rsidRPr="00CE3127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75 lei/ abonament cu număr nelimitat de 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călatorii</w:t>
      </w:r>
      <w:proofErr w:type="spellEnd"/>
    </w:p>
    <w:p w14:paraId="6750CBAD" w14:textId="0D0F35E2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</w:p>
    <w:p w14:paraId="21A29367" w14:textId="180E1CD4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II. </w:t>
      </w:r>
      <w:r w:rsidRPr="003F204A"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  <w:t>Factor de evaluare cu privire la componenta tehnică a ofertei</w:t>
      </w:r>
    </w:p>
    <w:p w14:paraId="74FD8AF1" w14:textId="48619D12" w:rsidR="003F204A" w:rsidRPr="003F204A" w:rsidRDefault="003F204A" w:rsidP="003F20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Punctajul maxim acordat pentru componenta tehnică a ofertei reprezintă 50,00 % din ponderea criteriilor de atribuire.</w:t>
      </w:r>
    </w:p>
    <w:p w14:paraId="3DC8260E" w14:textId="5CF56A6C" w:rsid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      Entitatea contractantă propune utilizarea următoare factori de evaluare care privesc componenta tehnică a ofertei:</w:t>
      </w:r>
    </w:p>
    <w:p w14:paraId="088C8215" w14:textId="25857C05" w:rsidR="006C17A6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3C1246B6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Vechimea parcului de vehicule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%):</w:t>
      </w:r>
    </w:p>
    <w:p w14:paraId="242F930E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Vechimea mijlocului de transport n (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 se va calcula după următoare formulă:</w:t>
      </w:r>
    </w:p>
    <w:p w14:paraId="502938E2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, unde,</w:t>
      </w:r>
    </w:p>
    <w:p w14:paraId="587803CD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 anul de depunere al ofertelor, </w:t>
      </w:r>
    </w:p>
    <w:p w14:paraId="0F36B72D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anul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fabricaţie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înscris în certificatul de înmatriculare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cartea de identitate a mijlocului de transport </w:t>
      </w:r>
      <w:r w:rsidRPr="00703BE5">
        <w:rPr>
          <w:rFonts w:ascii="Times New Roman" w:hAnsi="Times New Roman"/>
          <w:bCs/>
          <w:i/>
          <w:sz w:val="28"/>
          <w:szCs w:val="28"/>
          <w:lang w:val="ro-RO"/>
        </w:rPr>
        <w:t>n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11DFBCF" w14:textId="77777777" w:rsidR="006C17A6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36521276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Punctajul aferent vechimii fiecărui mijloc de transport se va acorda după cum urmează:</w:t>
      </w:r>
    </w:p>
    <w:p w14:paraId="059AFFAE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Pentru VP = 0 sau de tip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hybrid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sau electric (indiferent de anul de fabricație), se acordă 25 puncte;</w:t>
      </w:r>
    </w:p>
    <w:p w14:paraId="264F5C47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între  1- 5 , se acordă 20 puncte;</w:t>
      </w:r>
    </w:p>
    <w:p w14:paraId="4D93CDC2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 între  6 -10 , se acordă 10 puncte;</w:t>
      </w:r>
    </w:p>
    <w:p w14:paraId="3A496DA2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≥ 11, se acordă 1 punct.</w:t>
      </w:r>
    </w:p>
    <w:p w14:paraId="2DFFB7BE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4638D056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pentru factorul de evaluare „vechimea parcului de autovehicule'' se calculează după următoarea formulă:</w:t>
      </w:r>
    </w:p>
    <w:p w14:paraId="0C9D44B1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= (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+…+Pvp4)/4, unde:</w:t>
      </w:r>
    </w:p>
    <w:p w14:paraId="0860FECA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acordat pentru vechimea mijlocului de transport 1 din listă;</w:t>
      </w:r>
    </w:p>
    <w:p w14:paraId="0C1B3F9D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Pvp4= punctajul acordat pentru vechimea mijlocului de transport 4 din listă;</w:t>
      </w:r>
    </w:p>
    <w:p w14:paraId="75857683" w14:textId="77777777" w:rsidR="006C17A6" w:rsidRPr="004272F6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Punctele se cumulează pentru fiecare autovehicul în parte, 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 </w:t>
      </w:r>
    </w:p>
    <w:p w14:paraId="1C2077ED" w14:textId="77777777" w:rsidR="006C17A6" w:rsidRPr="008C05BA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În punctajul total nu se calculează autovehiculele de rezervă.</w:t>
      </w:r>
    </w:p>
    <w:p w14:paraId="0CF39FBD" w14:textId="5545F803" w:rsidR="006C17A6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B0F1D78" w14:textId="6D823AB6" w:rsidR="003F204A" w:rsidRPr="003F204A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bookmarkStart w:id="7" w:name="_Hlk87032421"/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II</w:t>
      </w:r>
      <w:r w:rsidR="003F204A" w:rsidRPr="003F204A">
        <w:rPr>
          <w:rFonts w:ascii="Times New Roman" w:hAnsi="Times New Roman" w:cs="Times New Roman"/>
          <w:b/>
          <w:iCs/>
          <w:sz w:val="28"/>
          <w:szCs w:val="28"/>
          <w:lang w:val="ro-RO"/>
        </w:rPr>
        <w:t>. Numărul de locuri pe scaune</w:t>
      </w:r>
      <w:r w:rsidR="003F204A"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(ponderea: 25,00 %) :</w:t>
      </w:r>
    </w:p>
    <w:p w14:paraId="16422BC5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Algoritm de calcul: Punctajul pentru factorul de evaluare “locuri pe scaune” se acorda astfel: </w:t>
      </w:r>
    </w:p>
    <w:p w14:paraId="0395F45E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cele mai multe locuri pe scaune se acorda punctajul maxim alocat factorului de evaluare, respectiv 25 puncte;</w:t>
      </w:r>
    </w:p>
    <w:p w14:paraId="2ACC7EC9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număr de locuri pe scaune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cea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prevazută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0228A72F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 (n) = [numărul de locuri pe scaune (n)/număr de locuri pe scaune maxim] x 25</w:t>
      </w:r>
    </w:p>
    <w:p w14:paraId="03951938" w14:textId="63DB669E" w:rsidR="006C17A6" w:rsidRPr="00C23FDF" w:rsidRDefault="006C17A6" w:rsidP="00C23FD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Punctele se cumulează pentru fiecare autovehicul în parte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</w:t>
      </w:r>
      <w:r w:rsidR="00C23FDF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599F9FC" w14:textId="72FC983B" w:rsid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</w:t>
      </w:r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Punctajele rezultate pentru aspectele economice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financiare ale ofertei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aspectele tehnice ale ofertei pentru fiecare ofertant în parte se vor însuma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funcţie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valorile punctajelor realizate, se va adjudeca oferta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câştigătoare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pentru punctajul cel mai mare.</w:t>
      </w:r>
    </w:p>
    <w:p w14:paraId="5F6911A8" w14:textId="2A12D55F" w:rsidR="00C23FDF" w:rsidRPr="00C23FDF" w:rsidRDefault="00C23FDF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Valoarea </w:t>
      </w:r>
      <w:r w:rsidR="00BF47B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anuală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estimată a contractului  este de </w:t>
      </w:r>
      <w:r w:rsidR="00BF47BA">
        <w:rPr>
          <w:rFonts w:ascii="Times New Roman" w:hAnsi="Times New Roman" w:cs="Times New Roman"/>
          <w:bCs/>
          <w:iCs/>
          <w:sz w:val="28"/>
          <w:szCs w:val="28"/>
          <w:lang w:val="ro-RO"/>
        </w:rPr>
        <w:t>950000 lei. Pentru o durată de contract de 6 ani rezultă o valoare estimată a contractului de 5.700.000 lei.</w:t>
      </w:r>
    </w:p>
    <w:bookmarkEnd w:id="7"/>
    <w:p w14:paraId="467D0B42" w14:textId="77777777" w:rsidR="00895CEB" w:rsidRPr="00D53B57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E080EC4" w14:textId="3B57D1E0" w:rsidR="00D53B57" w:rsidRPr="007D56B7" w:rsidRDefault="005B2DC9" w:rsidP="00A2245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K. </w:t>
      </w:r>
      <w:bookmarkStart w:id="8" w:name="_Hlk86954573"/>
      <w:r w:rsidR="00A9333F"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>Garanția de participare</w:t>
      </w:r>
    </w:p>
    <w:p w14:paraId="258C5AB7" w14:textId="191DA41C" w:rsidR="00A9333F" w:rsidRPr="007D56B7" w:rsidRDefault="00A9333F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6F6973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Ofertanții vor prezenta obligatoriu la procedura de atribuire a contractului de </w:t>
      </w:r>
      <w:r w:rsidR="008C1C2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delegare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, garan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ia de participare.</w:t>
      </w:r>
    </w:p>
    <w:p w14:paraId="5644A863" w14:textId="1EFD94E3" w:rsidR="00141455" w:rsidRPr="007D56B7" w:rsidRDefault="00A9333F" w:rsidP="00141455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</w:t>
      </w:r>
      <w:r w:rsidR="002D052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Delegatarul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solicită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participanţilor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la  procedura  de  delegare  a  gestiunii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curse regulate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să depună o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participare, </w:t>
      </w:r>
      <w:r w:rsidR="008C5177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cuantumul </w:t>
      </w:r>
      <w:r w:rsidR="00562888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stabilit</w:t>
      </w:r>
      <w:r w:rsidR="008C5177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contractul de delegare a gestiunii.</w:t>
      </w:r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conformitate cu prevederile art. 35, din HG nr. 395/2016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Normelor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metodologice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aplicare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prevederilor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referitoare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atribuirea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achiziție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acordului-cadru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din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Legea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nr. 98/2016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achizițiile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valoarea garanției de participare nu poate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depăşi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1% din valoarea estimată a contractului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achiziţie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publică</w:t>
      </w:r>
      <w:r w:rsidR="00B7739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32E4A112" w14:textId="63DDFD20" w:rsidR="00A9333F" w:rsidRPr="007D56B7" w:rsidRDefault="00A9333F" w:rsidP="00141455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de  participare  are  drept  scop  protejarea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entităţii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contractante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faţă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de  riscul unui comportament necorespunzător al ofertantului pe toată perioada implicării sale în</w:t>
      </w:r>
      <w:r w:rsidRPr="007D56B7">
        <w:rPr>
          <w:rFonts w:ascii="Arial MT" w:eastAsia="Arial MT" w:hAnsi="Arial MT" w:cs="Arial MT"/>
          <w:spacing w:val="-1"/>
          <w:w w:val="105"/>
          <w:lang w:val="ro-RO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procedura de atribuire.</w:t>
      </w:r>
    </w:p>
    <w:p w14:paraId="19D5E87E" w14:textId="6E90AA59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evaluare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raportare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unitara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ale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cuantumului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aferent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garanției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echivalența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garanție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depusă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euro,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in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orice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alta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moneda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se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face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cursul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BNR din data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anterioară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datei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limită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depunere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ofertelor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cu 5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44EBDC" w14:textId="2D4BB90D" w:rsidR="00A9333F" w:rsidRPr="007D56B7" w:rsidRDefault="00A22454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Informatii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suplimentare privind cursul de schimb BNR:</w:t>
      </w:r>
    </w:p>
    <w:p w14:paraId="4871652F" w14:textId="77777777" w:rsidR="00A9333F" w:rsidRPr="007D56B7" w:rsidRDefault="00970675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hyperlink r:id="rId7">
        <w:r w:rsidR="00A9333F" w:rsidRPr="007D56B7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lang w:val="ro-RO"/>
          </w:rPr>
          <w:t>http://www.bnr.ro/Cursul-de-schimb-524.aspx</w:t>
        </w:r>
      </w:hyperlink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participare se poate constitui: prin virament bancar, către:</w:t>
      </w:r>
    </w:p>
    <w:p w14:paraId="3940A564" w14:textId="20DC6299" w:rsidR="00A9333F" w:rsidRPr="007D56B7" w:rsidRDefault="00A9333F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A2245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Primaria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Moldovenesc, CIF 4842400,</w:t>
      </w:r>
    </w:p>
    <w:p w14:paraId="4E645272" w14:textId="63D56FC5" w:rsidR="00A9333F" w:rsidRPr="007D56B7" w:rsidRDefault="00A22454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</w:t>
      </w:r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IBAN - RO36TREZ5295006XXX000051 – Trezoreria Câmpulung Moldovenesc.</w:t>
      </w:r>
    </w:p>
    <w:p w14:paraId="410A72EA" w14:textId="433B711D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cazul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care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retrage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înainte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împlinirea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termenului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limită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deschidere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ofertelor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concedentul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are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obligaţia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restituie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termen de 5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primirea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unei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solicitări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scris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5E329D" w14:textId="2065FE9A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pierde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retrage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înainte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desemnarea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fiind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declarat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refuză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semneze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contractul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F3DA2FA" w14:textId="1A274430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la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a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declarat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fi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reţinută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către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1C24" w:rsidRPr="007D56B7">
        <w:rPr>
          <w:rFonts w:ascii="Times New Roman" w:hAnsi="Times New Roman" w:cs="Times New Roman"/>
          <w:iCs/>
          <w:sz w:val="28"/>
          <w:szCs w:val="28"/>
        </w:rPr>
        <w:t>delegatar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până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momentul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semnării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A20B44" w14:textId="522562BC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r w:rsidR="002D052C" w:rsidRPr="007D56B7">
        <w:rPr>
          <w:rFonts w:ascii="Times New Roman" w:hAnsi="Times New Roman" w:cs="Times New Roman"/>
          <w:iCs/>
          <w:sz w:val="28"/>
          <w:szCs w:val="28"/>
        </w:rPr>
        <w:t>Delegatarul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obligat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restituie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celorlalţi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ofertanţi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termen de 7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desemnarea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96FD41" w14:textId="1A973E02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cazul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extinderii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garantiei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fi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prelungit</w:t>
      </w:r>
      <w:r w:rsidR="00A3435C" w:rsidRPr="007D56B7">
        <w:rPr>
          <w:rFonts w:ascii="Times New Roman" w:hAnsi="Times New Roman" w:cs="Times New Roman"/>
          <w:iCs/>
          <w:sz w:val="28"/>
          <w:szCs w:val="28"/>
        </w:rPr>
        <w:t>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3435C" w:rsidRPr="007D56B7">
        <w:rPr>
          <w:rFonts w:ascii="Times New Roman" w:hAnsi="Times New Roman" w:cs="Times New Roman"/>
          <w:iCs/>
          <w:sz w:val="28"/>
          <w:szCs w:val="28"/>
        </w:rPr>
        <w:t>î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mod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corespunz</w:t>
      </w:r>
      <w:r w:rsidR="00A3435C" w:rsidRPr="007D56B7">
        <w:rPr>
          <w:rFonts w:ascii="Times New Roman" w:hAnsi="Times New Roman" w:cs="Times New Roman"/>
          <w:iCs/>
          <w:sz w:val="28"/>
          <w:szCs w:val="28"/>
        </w:rPr>
        <w:t>ă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7E0E2F1" w14:textId="3CC5323A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respinsă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nu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prezentat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documentul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constituire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cuantumul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forma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având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solicitate,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aceasta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are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valoare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mai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mică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decât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solicitată</w:t>
      </w:r>
      <w:proofErr w:type="spellEnd"/>
      <w:r w:rsidR="005B2DC9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24B3DC" w14:textId="77777777" w:rsidR="00A22454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08918D" w14:textId="7A3FCCA7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>M. Garanția de buna execuție</w:t>
      </w:r>
      <w:r w:rsidRPr="007D56B7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: </w:t>
      </w:r>
      <w:r w:rsidR="00B7739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1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% din valoarea anuală a contractului</w:t>
      </w:r>
      <w:r w:rsidRPr="007D56B7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B61BF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B61BF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trebuie să fie irevocabilă. În cazul neconstituirii garanției de bună execuție în termen de 15 zile de la data semnării contractului și în cuantumul fixat prin contractul de delegare a gestiunii, acesta devine nul de drept, imediat după data scadentă de constituire a garanției de bună execuție.</w:t>
      </w:r>
    </w:p>
    <w:p w14:paraId="33DFE0C0" w14:textId="3F14E221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A2245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În conformitate cu prevederile art. 39, din HG nr. 395/20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1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6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Normelor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metodologice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aplicare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prevederilor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referitoare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atribuirea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achiziție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acordului-cadru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Legea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nr. 98/2016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achizițiile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08102C56" w14:textId="59453E01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„(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4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)</w:t>
      </w:r>
      <w:r w:rsidR="002B293F" w:rsidRPr="007D56B7"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Autoritatea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contractantă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stabileşte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valoarea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garanţiei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raportare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complexitatea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achiziţie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subsecvent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care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urmează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fi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executat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, care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însă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nu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trebuie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depăşească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10% din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preţul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fără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TVA.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3F68818A" w14:textId="7F4995F1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se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constituie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scopul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asigurării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autorităţii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contractante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îndeplinirea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corectă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delegarea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transport public local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curse regulate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Municipiul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Câmpulung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Moldovenesc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plata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redevenței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anuale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garantate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termenele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stabilite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273E5F81" w14:textId="21A23158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Garanția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executie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indică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gradul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preluare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riscului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ofertă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către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E21CD" w:rsidRPr="007D56B7">
        <w:rPr>
          <w:rFonts w:ascii="Times New Roman" w:hAnsi="Times New Roman" w:cs="Times New Roman"/>
          <w:iCs/>
          <w:sz w:val="28"/>
          <w:szCs w:val="28"/>
        </w:rPr>
        <w:t>delegant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0E1EB3FD" w14:textId="69EBA758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</w:t>
      </w:r>
      <w:r w:rsidR="00002F30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Delegantul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obligaţia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ca, în termen de 15 de zile de la data semnării contractului, să constituie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bună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ie.</w:t>
      </w:r>
    </w:p>
    <w:p w14:paraId="7E3C89FA" w14:textId="28272D72" w:rsidR="00C0170D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ie se constituie prin virament bancar, sau printr-un instrument de garantare emis în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condiţiile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Informa</w:t>
      </w:r>
      <w:r w:rsidR="00A3435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ii suplimentare privind cursul de schimb BNR:</w:t>
      </w:r>
    </w:p>
    <w:p w14:paraId="107A6B1C" w14:textId="3B7C45AB" w:rsidR="002B293F" w:rsidRPr="007D56B7" w:rsidRDefault="00970675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hyperlink r:id="rId8" w:history="1">
        <w:r w:rsidR="001C4267" w:rsidRPr="007D56B7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lang w:val="ro-RO"/>
          </w:rPr>
          <w:t>http://www.bnr.ro/Cursul-de-schimb-524.aspx</w:t>
        </w:r>
      </w:hyperlink>
    </w:p>
    <w:p w14:paraId="0ED91B90" w14:textId="515F4CFB" w:rsidR="00E96A51" w:rsidRPr="007D56B7" w:rsidRDefault="003B4AB2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de  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   se   poate   constitui   prin   virament   bancar:   Prim</w:t>
      </w:r>
      <w:r w:rsidR="00A3435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ria Câmpulung Moldovenesc, CIF 4842400,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1C0A1BF3" w14:textId="3A0319DC" w:rsidR="002B293F" w:rsidRPr="007D56B7" w:rsidRDefault="002B293F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IBAN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ab/>
        <w:t>RO36TREZ5295006XXX000051 –Trezoreria Câmpulung Moldovenesc.</w:t>
      </w:r>
    </w:p>
    <w:p w14:paraId="4ADEEFAD" w14:textId="6B225821" w:rsidR="002B293F" w:rsidRPr="007D56B7" w:rsidRDefault="003B4AB2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 trebuie să fie constituită în suma corespunz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toare nivelului ofertat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pentru toat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durata contractului de delegare a gestiunii serviciului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 transport p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ublic local de persoane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bookmarkEnd w:id="8"/>
    <w:p w14:paraId="0310CF63" w14:textId="57D569DF" w:rsidR="00B77391" w:rsidRDefault="003B4AB2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</w:p>
    <w:p w14:paraId="314B6342" w14:textId="54EE8A7F" w:rsidR="00DD6237" w:rsidRDefault="00DD6237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5E4411D6" w14:textId="746D2790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1A93C3F0" w14:textId="31D09525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29F686CE" w14:textId="77777777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528A4105" w14:textId="5BF4CFD4" w:rsidR="0070053A" w:rsidRPr="007D56B7" w:rsidRDefault="0070053A" w:rsidP="008224D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Prezentul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studiu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oportunitate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se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constituie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Anexa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Hotararea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Consiliului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Local nr..................................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acestuia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,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procedurii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atribuire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public de transport local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,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redeventei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minime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garantate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duratei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14:paraId="61F4836A" w14:textId="77777777" w:rsidR="008C1C24" w:rsidRPr="007D56B7" w:rsidRDefault="008C1C24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2C8EA92C" w14:textId="483BC22B" w:rsidR="00E47580" w:rsidRPr="007D56B7" w:rsidRDefault="00E47580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NOTĂ:</w:t>
      </w:r>
    </w:p>
    <w:p w14:paraId="77FCC822" w14:textId="59E91EB0" w:rsidR="00E47580" w:rsidRPr="007D56B7" w:rsidRDefault="00E47580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Toate  drepturile  cu  privire  la  prezentul  Studiu  de  oportunitate  aparțin  societății  comerciale </w:t>
      </w:r>
      <w:proofErr w:type="spellStart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Exim</w:t>
      </w:r>
      <w:r w:rsidR="00C0170D" w:rsidRPr="007D56B7">
        <w:rPr>
          <w:rFonts w:ascii="Times New Roman" w:hAnsi="Times New Roman" w:cs="Times New Roman"/>
          <w:i/>
          <w:sz w:val="28"/>
          <w:szCs w:val="28"/>
          <w:lang w:val="ro-RO"/>
        </w:rPr>
        <w:t>p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Iuliana S.R.L.</w:t>
      </w:r>
    </w:p>
    <w:p w14:paraId="7919B9A0" w14:textId="1D77F91C" w:rsidR="00A9333F" w:rsidRPr="007D56B7" w:rsidRDefault="00E47580" w:rsidP="00172EC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 Elaborarea acestui Studiu de oportunitate și a </w:t>
      </w:r>
      <w:proofErr w:type="spellStart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intregii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documentații de atribuire a </w:t>
      </w:r>
      <w:r w:rsidR="005A30B1">
        <w:rPr>
          <w:rFonts w:ascii="Times New Roman" w:hAnsi="Times New Roman" w:cs="Times New Roman"/>
          <w:i/>
          <w:sz w:val="28"/>
          <w:szCs w:val="28"/>
          <w:lang w:val="ro-RO"/>
        </w:rPr>
        <w:t>C</w:t>
      </w: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ontractului de delegare a gestiunii serviciului de </w:t>
      </w:r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transport public local de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curse regulate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s-a făcut pentru utilizarea exclusivă în cadrul procedurilor de atribuire    desfășurate    de    autoritatea    contractantă,    Primăria    Municipiului    Câmpulung Moldovenesc.</w:t>
      </w:r>
    </w:p>
    <w:sectPr w:rsidR="00A9333F" w:rsidRPr="007D56B7" w:rsidSect="00942C44">
      <w:footerReference w:type="even" r:id="rId9"/>
      <w:footerReference w:type="default" r:id="rId10"/>
      <w:type w:val="oddPage"/>
      <w:pgSz w:w="11907" w:h="16840" w:code="9"/>
      <w:pgMar w:top="1008" w:right="1008" w:bottom="720" w:left="1296" w:header="562" w:footer="3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52A8" w14:textId="77777777" w:rsidR="00970675" w:rsidRDefault="00970675" w:rsidP="00482D1E">
      <w:pPr>
        <w:spacing w:after="0" w:line="240" w:lineRule="auto"/>
      </w:pPr>
      <w:r>
        <w:separator/>
      </w:r>
    </w:p>
  </w:endnote>
  <w:endnote w:type="continuationSeparator" w:id="0">
    <w:p w14:paraId="601EE277" w14:textId="77777777" w:rsidR="00970675" w:rsidRDefault="00970675" w:rsidP="0048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934071"/>
      <w:docPartObj>
        <w:docPartGallery w:val="Page Numbers (Bottom of Page)"/>
        <w:docPartUnique/>
      </w:docPartObj>
    </w:sdtPr>
    <w:sdtEndPr/>
    <w:sdtContent>
      <w:p w14:paraId="6403E131" w14:textId="3559CAB2" w:rsidR="00C0170D" w:rsidRDefault="00C0170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27FEBFF" w14:textId="77777777" w:rsidR="00C0170D" w:rsidRDefault="00C0170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61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D80A5" w14:textId="01B34D11" w:rsidR="002B293F" w:rsidRDefault="002B293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24CDFC7" w14:textId="77777777" w:rsidR="002B293F" w:rsidRDefault="002B293F">
    <w:pPr>
      <w:pStyle w:val="Subsol"/>
    </w:pPr>
  </w:p>
  <w:p w14:paraId="73D5328A" w14:textId="77777777" w:rsidR="002B293F" w:rsidRDefault="002B2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FCC2" w14:textId="77777777" w:rsidR="00970675" w:rsidRDefault="00970675" w:rsidP="00482D1E">
      <w:pPr>
        <w:spacing w:after="0" w:line="240" w:lineRule="auto"/>
      </w:pPr>
      <w:r>
        <w:separator/>
      </w:r>
    </w:p>
  </w:footnote>
  <w:footnote w:type="continuationSeparator" w:id="0">
    <w:p w14:paraId="23B3299C" w14:textId="77777777" w:rsidR="00970675" w:rsidRDefault="00970675" w:rsidP="0048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E1"/>
    <w:multiLevelType w:val="hybridMultilevel"/>
    <w:tmpl w:val="099C2522"/>
    <w:lvl w:ilvl="0" w:tplc="CA70C2DA">
      <w:start w:val="1"/>
      <w:numFmt w:val="bullet"/>
      <w:lvlText w:val=""/>
      <w:lvlJc w:val="left"/>
      <w:pPr>
        <w:ind w:left="506" w:hanging="320"/>
      </w:pPr>
      <w:rPr>
        <w:rFonts w:ascii="Wingdings" w:hAnsi="Wingdings" w:hint="default"/>
        <w:w w:val="102"/>
        <w:sz w:val="22"/>
        <w:szCs w:val="22"/>
        <w:lang w:val="ro-RO" w:eastAsia="en-US" w:bidi="ar-SA"/>
      </w:rPr>
    </w:lvl>
    <w:lvl w:ilvl="1" w:tplc="D90AF4DC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 w:tplc="36CC86E0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 w:tplc="B024D0BC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 w:tplc="4C7CA48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 w:tplc="EAAEB8B2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 w:tplc="3476ECA4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 w:tplc="0A800EB0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 w:tplc="C1E2B4DC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abstractNum w:abstractNumId="1" w15:restartNumberingAfterBreak="0">
    <w:nsid w:val="02D01D03"/>
    <w:multiLevelType w:val="hybridMultilevel"/>
    <w:tmpl w:val="4928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58AA"/>
    <w:multiLevelType w:val="hybridMultilevel"/>
    <w:tmpl w:val="42A6423E"/>
    <w:lvl w:ilvl="0" w:tplc="43020398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3DA4"/>
    <w:multiLevelType w:val="hybridMultilevel"/>
    <w:tmpl w:val="5DEA5CFA"/>
    <w:lvl w:ilvl="0" w:tplc="4AE6CA2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378BE"/>
    <w:multiLevelType w:val="hybridMultilevel"/>
    <w:tmpl w:val="BEAAF392"/>
    <w:lvl w:ilvl="0" w:tplc="2020BF7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46CF0"/>
    <w:multiLevelType w:val="hybridMultilevel"/>
    <w:tmpl w:val="0B9C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0E34"/>
    <w:multiLevelType w:val="hybridMultilevel"/>
    <w:tmpl w:val="22C2BB50"/>
    <w:lvl w:ilvl="0" w:tplc="AAD41BC0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45C73"/>
    <w:multiLevelType w:val="multilevel"/>
    <w:tmpl w:val="89D08448"/>
    <w:lvl w:ilvl="0">
      <w:start w:val="1"/>
      <w:numFmt w:val="lowerLetter"/>
      <w:lvlText w:val="%1)"/>
      <w:lvlJc w:val="left"/>
      <w:pPr>
        <w:ind w:left="506" w:hanging="320"/>
      </w:pPr>
      <w:rPr>
        <w:rFonts w:ascii="Arial MT" w:eastAsia="Arial MT" w:hAnsi="Arial MT" w:cs="Arial MT" w:hint="default"/>
        <w:w w:val="102"/>
        <w:sz w:val="22"/>
        <w:szCs w:val="22"/>
        <w:lang w:val="ro-RO" w:eastAsia="en-US" w:bidi="ar-SA"/>
      </w:rPr>
    </w:lvl>
    <w:lvl w:ilvl="1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abstractNum w:abstractNumId="8" w15:restartNumberingAfterBreak="0">
    <w:nsid w:val="5BEB231B"/>
    <w:multiLevelType w:val="multilevel"/>
    <w:tmpl w:val="89D08448"/>
    <w:lvl w:ilvl="0">
      <w:start w:val="1"/>
      <w:numFmt w:val="lowerLetter"/>
      <w:lvlText w:val="%1)"/>
      <w:lvlJc w:val="left"/>
      <w:pPr>
        <w:ind w:left="506" w:hanging="320"/>
      </w:pPr>
      <w:rPr>
        <w:rFonts w:ascii="Arial MT" w:eastAsia="Arial MT" w:hAnsi="Arial MT" w:cs="Arial MT" w:hint="default"/>
        <w:w w:val="102"/>
        <w:sz w:val="22"/>
        <w:szCs w:val="22"/>
        <w:lang w:val="ro-RO" w:eastAsia="en-US" w:bidi="ar-SA"/>
      </w:rPr>
    </w:lvl>
    <w:lvl w:ilvl="1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E"/>
    <w:rsid w:val="000022BA"/>
    <w:rsid w:val="00002F30"/>
    <w:rsid w:val="000118E4"/>
    <w:rsid w:val="00013E60"/>
    <w:rsid w:val="000D416D"/>
    <w:rsid w:val="000E5BC0"/>
    <w:rsid w:val="001119B3"/>
    <w:rsid w:val="00141455"/>
    <w:rsid w:val="00172EC5"/>
    <w:rsid w:val="001A1DA4"/>
    <w:rsid w:val="001A3D94"/>
    <w:rsid w:val="001C4267"/>
    <w:rsid w:val="001E0071"/>
    <w:rsid w:val="002567AD"/>
    <w:rsid w:val="002733CB"/>
    <w:rsid w:val="0029512C"/>
    <w:rsid w:val="002B293F"/>
    <w:rsid w:val="002C640E"/>
    <w:rsid w:val="002D052C"/>
    <w:rsid w:val="002E7C3E"/>
    <w:rsid w:val="00317D5F"/>
    <w:rsid w:val="003343FC"/>
    <w:rsid w:val="003B0390"/>
    <w:rsid w:val="003B4AB2"/>
    <w:rsid w:val="003E21CD"/>
    <w:rsid w:val="003F204A"/>
    <w:rsid w:val="00403133"/>
    <w:rsid w:val="004077B4"/>
    <w:rsid w:val="00420D20"/>
    <w:rsid w:val="004238A9"/>
    <w:rsid w:val="00433FD6"/>
    <w:rsid w:val="00453116"/>
    <w:rsid w:val="00482D1E"/>
    <w:rsid w:val="0049629D"/>
    <w:rsid w:val="005011B4"/>
    <w:rsid w:val="00523B51"/>
    <w:rsid w:val="005445B5"/>
    <w:rsid w:val="00551BDA"/>
    <w:rsid w:val="005534FC"/>
    <w:rsid w:val="00562888"/>
    <w:rsid w:val="00563848"/>
    <w:rsid w:val="00585A85"/>
    <w:rsid w:val="00593E95"/>
    <w:rsid w:val="005A30B1"/>
    <w:rsid w:val="005B2DC9"/>
    <w:rsid w:val="005E257A"/>
    <w:rsid w:val="006067A4"/>
    <w:rsid w:val="00645125"/>
    <w:rsid w:val="00677F2B"/>
    <w:rsid w:val="00681911"/>
    <w:rsid w:val="006A5471"/>
    <w:rsid w:val="006C17A6"/>
    <w:rsid w:val="006C40F3"/>
    <w:rsid w:val="006F6973"/>
    <w:rsid w:val="0070053A"/>
    <w:rsid w:val="00707948"/>
    <w:rsid w:val="00727B21"/>
    <w:rsid w:val="00745851"/>
    <w:rsid w:val="00771DD7"/>
    <w:rsid w:val="00794AB2"/>
    <w:rsid w:val="007A17F1"/>
    <w:rsid w:val="007B5923"/>
    <w:rsid w:val="007B71BD"/>
    <w:rsid w:val="007C4878"/>
    <w:rsid w:val="007D3C15"/>
    <w:rsid w:val="007D56B7"/>
    <w:rsid w:val="00807D12"/>
    <w:rsid w:val="008224DA"/>
    <w:rsid w:val="0087492B"/>
    <w:rsid w:val="00895CEB"/>
    <w:rsid w:val="008A03BE"/>
    <w:rsid w:val="008A7E23"/>
    <w:rsid w:val="008C1C24"/>
    <w:rsid w:val="008C4F91"/>
    <w:rsid w:val="008C5177"/>
    <w:rsid w:val="008C574C"/>
    <w:rsid w:val="008E28EB"/>
    <w:rsid w:val="00903E2E"/>
    <w:rsid w:val="00942C44"/>
    <w:rsid w:val="009466D6"/>
    <w:rsid w:val="00970675"/>
    <w:rsid w:val="009A0DB1"/>
    <w:rsid w:val="00A22454"/>
    <w:rsid w:val="00A3435C"/>
    <w:rsid w:val="00A36C03"/>
    <w:rsid w:val="00A64CD3"/>
    <w:rsid w:val="00A9333F"/>
    <w:rsid w:val="00AE0064"/>
    <w:rsid w:val="00B32E12"/>
    <w:rsid w:val="00B61BF4"/>
    <w:rsid w:val="00B77391"/>
    <w:rsid w:val="00BA3024"/>
    <w:rsid w:val="00BB0181"/>
    <w:rsid w:val="00BF3AAF"/>
    <w:rsid w:val="00BF47BA"/>
    <w:rsid w:val="00C0170D"/>
    <w:rsid w:val="00C20257"/>
    <w:rsid w:val="00C23FDF"/>
    <w:rsid w:val="00C278C6"/>
    <w:rsid w:val="00C302D5"/>
    <w:rsid w:val="00C4412E"/>
    <w:rsid w:val="00CA1477"/>
    <w:rsid w:val="00CA6D96"/>
    <w:rsid w:val="00CF5FAB"/>
    <w:rsid w:val="00D031D0"/>
    <w:rsid w:val="00D22125"/>
    <w:rsid w:val="00D23159"/>
    <w:rsid w:val="00D37B3D"/>
    <w:rsid w:val="00D53B57"/>
    <w:rsid w:val="00D62E13"/>
    <w:rsid w:val="00D72F3E"/>
    <w:rsid w:val="00D86E2F"/>
    <w:rsid w:val="00D91A7A"/>
    <w:rsid w:val="00DA626D"/>
    <w:rsid w:val="00DA7004"/>
    <w:rsid w:val="00DD40F0"/>
    <w:rsid w:val="00DD5311"/>
    <w:rsid w:val="00DD6237"/>
    <w:rsid w:val="00DD7155"/>
    <w:rsid w:val="00DF7C89"/>
    <w:rsid w:val="00E32114"/>
    <w:rsid w:val="00E359DD"/>
    <w:rsid w:val="00E42643"/>
    <w:rsid w:val="00E47580"/>
    <w:rsid w:val="00E96A51"/>
    <w:rsid w:val="00EC1F46"/>
    <w:rsid w:val="00ED619A"/>
    <w:rsid w:val="00F0713F"/>
    <w:rsid w:val="00F424AE"/>
    <w:rsid w:val="00F52870"/>
    <w:rsid w:val="00F71D60"/>
    <w:rsid w:val="00FE209F"/>
    <w:rsid w:val="00FE2DC6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7938"/>
  <w15:docId w15:val="{D5B4A9E0-6752-4018-A53F-D53E86D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B2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8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82D1E"/>
  </w:style>
  <w:style w:type="paragraph" w:styleId="Subsol">
    <w:name w:val="footer"/>
    <w:basedOn w:val="Normal"/>
    <w:link w:val="SubsolCaracter"/>
    <w:uiPriority w:val="99"/>
    <w:unhideWhenUsed/>
    <w:rsid w:val="0048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82D1E"/>
  </w:style>
  <w:style w:type="paragraph" w:styleId="Listparagraf">
    <w:name w:val="List Paragraph"/>
    <w:basedOn w:val="Normal"/>
    <w:uiPriority w:val="34"/>
    <w:qFormat/>
    <w:rsid w:val="002E7C3E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A9333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9333F"/>
  </w:style>
  <w:style w:type="character" w:styleId="Hyperlink">
    <w:name w:val="Hyperlink"/>
    <w:basedOn w:val="Fontdeparagrafimplicit"/>
    <w:uiPriority w:val="99"/>
    <w:unhideWhenUsed/>
    <w:rsid w:val="00A9333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333F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5B2D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/Cursul-de-schimb-524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nr.ro/Cursul-de-schimb-524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7435</Words>
  <Characters>43123</Characters>
  <Application>Microsoft Office Word</Application>
  <DocSecurity>0</DocSecurity>
  <Lines>359</Lines>
  <Paragraphs>100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Dell-Inspiron17</dc:creator>
  <cp:lastModifiedBy>Luminita.Ropcean</cp:lastModifiedBy>
  <cp:revision>14</cp:revision>
  <cp:lastPrinted>2021-11-03T07:14:00Z</cp:lastPrinted>
  <dcterms:created xsi:type="dcterms:W3CDTF">2021-11-05T17:32:00Z</dcterms:created>
  <dcterms:modified xsi:type="dcterms:W3CDTF">2021-12-28T12:43:00Z</dcterms:modified>
</cp:coreProperties>
</file>