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C947" w14:textId="4394DA68"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w:t>
      </w:r>
      <w:r w:rsidR="00A52250">
        <w:rPr>
          <w:b/>
        </w:rPr>
        <w:t>nr. 40</w:t>
      </w:r>
      <w:r w:rsidRPr="000E5DD9">
        <w:rPr>
          <w:b/>
        </w:rPr>
        <w:t>/202</w:t>
      </w:r>
      <w:r w:rsidR="00AC6745">
        <w:rPr>
          <w:b/>
        </w:rPr>
        <w:t>4</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4BF73E99" w14:textId="29CB40BB" w:rsidR="00EF29DC" w:rsidRPr="00A1235B" w:rsidRDefault="00EF29DC" w:rsidP="00EF29DC">
      <w:pPr>
        <w:spacing w:line="276" w:lineRule="auto"/>
        <w:jc w:val="center"/>
      </w:pPr>
      <w:r w:rsidRPr="00A1235B">
        <w:t xml:space="preserve">privind </w:t>
      </w:r>
      <w:r>
        <w:t>vânzarea prin licitație publică a</w:t>
      </w:r>
      <w:r w:rsidRPr="00A1235B">
        <w:t xml:space="preserve"> unei suprafețe de teren de </w:t>
      </w:r>
      <w:r>
        <w:t>1</w:t>
      </w:r>
      <w:r w:rsidR="00AC6745">
        <w:t>87</w:t>
      </w:r>
      <w:r w:rsidRPr="00A1235B">
        <w:t xml:space="preserve"> mp, </w:t>
      </w:r>
    </w:p>
    <w:p w14:paraId="672950DE" w14:textId="77777777" w:rsidR="00EF29DC" w:rsidRDefault="00EF29DC" w:rsidP="00EF29DC">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4B50636" w14:textId="5FF5F448" w:rsidR="00041734" w:rsidRPr="000E5DD9" w:rsidRDefault="00EF29DC" w:rsidP="00EF29DC">
      <w:pPr>
        <w:jc w:val="center"/>
      </w:pPr>
      <w:r>
        <w:t xml:space="preserve">str. </w:t>
      </w:r>
      <w:r w:rsidR="00AC6745">
        <w:t>I. Slavici</w:t>
      </w:r>
      <w:r>
        <w:t xml:space="preserve"> </w:t>
      </w:r>
      <w:r w:rsidR="00AC6745">
        <w:t>fn</w:t>
      </w:r>
      <w:r>
        <w:t>, municipiul Câmpulung Moldovenesc</w:t>
      </w:r>
    </w:p>
    <w:p w14:paraId="370B6563" w14:textId="77777777" w:rsidR="000E5DD9" w:rsidRDefault="000E5DD9" w:rsidP="00041734">
      <w:pPr>
        <w:rPr>
          <w:b/>
        </w:rP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740AF10A" w14:textId="3BD2AD76"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0A0DD6">
        <w:rPr>
          <w:bCs/>
        </w:rPr>
        <w:t xml:space="preserve">o suprafață de teren de </w:t>
      </w:r>
      <w:r w:rsidR="00EF29DC">
        <w:rPr>
          <w:bCs/>
        </w:rPr>
        <w:t>1</w:t>
      </w:r>
      <w:r w:rsidR="00AC6745">
        <w:rPr>
          <w:bCs/>
        </w:rPr>
        <w:t>87</w:t>
      </w:r>
      <w:r w:rsidR="000A0DD6">
        <w:rPr>
          <w:bCs/>
        </w:rPr>
        <w:t xml:space="preserve"> mp</w:t>
      </w:r>
      <w:r>
        <w:rPr>
          <w:bCs/>
        </w:rPr>
        <w:t xml:space="preserve"> aparținând domeniului </w:t>
      </w:r>
      <w:r w:rsidR="00EF29DC">
        <w:rPr>
          <w:bCs/>
        </w:rPr>
        <w:t>privat</w:t>
      </w:r>
      <w:r>
        <w:rPr>
          <w:bCs/>
        </w:rPr>
        <w:t xml:space="preserve"> al municipiului,</w:t>
      </w:r>
      <w:r w:rsidR="000A0DD6">
        <w:rPr>
          <w:bCs/>
        </w:rPr>
        <w:t xml:space="preserve"> situată în str. </w:t>
      </w:r>
      <w:r w:rsidR="00AC6745">
        <w:rPr>
          <w:bCs/>
        </w:rPr>
        <w:t>I. Slavici fn</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EF29DC">
        <w:rPr>
          <w:bCs/>
        </w:rPr>
        <w:t>4</w:t>
      </w:r>
      <w:r w:rsidR="00AC6745">
        <w:rPr>
          <w:bCs/>
        </w:rPr>
        <w:t>3442</w:t>
      </w:r>
      <w:r w:rsidR="000A0DD6">
        <w:rPr>
          <w:bCs/>
        </w:rPr>
        <w:t xml:space="preserve"> Câmpulung Moldovenesc.</w:t>
      </w:r>
    </w:p>
    <w:p w14:paraId="57E2E9CD" w14:textId="37304480" w:rsidR="00041734" w:rsidRDefault="00041734" w:rsidP="00041734">
      <w:pPr>
        <w:tabs>
          <w:tab w:val="left" w:pos="993"/>
        </w:tabs>
        <w:ind w:firstLine="708"/>
        <w:jc w:val="both"/>
        <w:rPr>
          <w:bCs/>
        </w:rPr>
      </w:pP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4BC5B4C5" w:rsidR="006345E7" w:rsidRPr="00A51E06" w:rsidRDefault="006345E7" w:rsidP="006345E7">
      <w:pPr>
        <w:tabs>
          <w:tab w:val="left" w:pos="709"/>
        </w:tabs>
        <w:jc w:val="both"/>
        <w:rPr>
          <w:bCs/>
        </w:rPr>
      </w:pPr>
      <w:r w:rsidRPr="00A51E06">
        <w:rPr>
          <w:bCs/>
        </w:rPr>
        <w:tab/>
        <w:t>Obiectul vânzării îl constituie vânzarea terenului în suprafață de 1</w:t>
      </w:r>
      <w:r w:rsidR="00657D73">
        <w:rPr>
          <w:bCs/>
        </w:rPr>
        <w:t>87</w:t>
      </w:r>
      <w:r w:rsidRPr="00A51E06">
        <w:rPr>
          <w:bCs/>
        </w:rPr>
        <w:t xml:space="preserve"> mp, înscris în Cartea Funciară </w:t>
      </w:r>
      <w:r w:rsidR="00E30227">
        <w:rPr>
          <w:bCs/>
        </w:rPr>
        <w:t>4</w:t>
      </w:r>
      <w:r w:rsidR="00657D73">
        <w:rPr>
          <w:bCs/>
        </w:rPr>
        <w:t>3442</w:t>
      </w:r>
      <w:r w:rsidRPr="00A51E06">
        <w:rPr>
          <w:bCs/>
        </w:rPr>
        <w:t xml:space="preserve"> Câmpulung Moldovenesc, situat în municipiul Câmpulung Moldovenesc, str. </w:t>
      </w:r>
      <w:r w:rsidR="00657D73">
        <w:rPr>
          <w:bCs/>
        </w:rPr>
        <w:t>I. Slavici fn</w:t>
      </w:r>
      <w:r w:rsidRPr="00A51E06">
        <w:rPr>
          <w:bCs/>
        </w:rPr>
        <w:t>, ce aparține domeniului privat al municipiului Câmpulung Moldovenesc. Vânzătorul anexează la prezentul caiet de sarcini planul de amplasament și delimitare a imobilului și extrasul de carte funciara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4E4788AB" w:rsidR="00B03423" w:rsidRPr="00A51E06" w:rsidRDefault="00B03423" w:rsidP="00B03423">
      <w:pPr>
        <w:autoSpaceDE w:val="0"/>
        <w:autoSpaceDN w:val="0"/>
        <w:adjustRightInd w:val="0"/>
        <w:ind w:firstLine="709"/>
        <w:jc w:val="both"/>
      </w:pPr>
      <w:r w:rsidRPr="00A51E06">
        <w:t>Valoarea finală a terenului va fi stabilită în urma licitației publice ce urmează să fie organizată, conform legislaţiei în vigoare.</w:t>
      </w:r>
    </w:p>
    <w:p w14:paraId="167082F0" w14:textId="3DA22628"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657D73">
        <w:rPr>
          <w:b/>
        </w:rPr>
        <w:t>11.867,00</w:t>
      </w:r>
      <w:r w:rsidRPr="00A51E06">
        <w:rPr>
          <w:b/>
        </w:rPr>
        <w:t xml:space="preserve"> lei</w:t>
      </w:r>
      <w:r w:rsidRPr="00A51E06">
        <w:rPr>
          <w:bCs/>
        </w:rPr>
        <w:t xml:space="preserve">, </w:t>
      </w:r>
      <w:r w:rsidRPr="00A51E06">
        <w:rPr>
          <w:bCs/>
          <w:lang w:val="en-US"/>
        </w:rPr>
        <w:t xml:space="preserve">format din </w:t>
      </w:r>
      <w:bookmarkStart w:id="0" w:name="_Hlk95388300"/>
      <w:r w:rsidRPr="00A51E06">
        <w:rPr>
          <w:bCs/>
          <w:lang w:val="en-US"/>
        </w:rPr>
        <w:t>valoarea evaluată a terenului la care se adaugă prețul raportului de evaluare</w:t>
      </w:r>
      <w:bookmarkEnd w:id="0"/>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obţinută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În vederea participării la licitaţie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taxa de participare la licitaţie</w:t>
      </w:r>
      <w:r w:rsidRPr="00A51E06">
        <w:t xml:space="preserve"> în valoare de </w:t>
      </w:r>
      <w:r w:rsidRPr="00A51E06">
        <w:rPr>
          <w:b/>
          <w:bCs/>
        </w:rPr>
        <w:t>500 lei</w:t>
      </w:r>
      <w:r w:rsidRPr="00A51E06">
        <w:t>;</w:t>
      </w:r>
    </w:p>
    <w:p w14:paraId="3372AD3D" w14:textId="43B32CBA"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657D73">
        <w:rPr>
          <w:b/>
          <w:bCs/>
        </w:rPr>
        <w:t>1.187</w:t>
      </w:r>
      <w:r w:rsidRPr="00A51E06">
        <w:rPr>
          <w:b/>
          <w:bCs/>
        </w:rPr>
        <w:t xml:space="preserve"> 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lastRenderedPageBreak/>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60B7999F" w14:textId="235E3267" w:rsidR="00103554" w:rsidRDefault="00657D73">
            <w:pPr>
              <w:jc w:val="center"/>
              <w:rPr>
                <w:b/>
              </w:rPr>
            </w:pPr>
            <w:r>
              <w:rPr>
                <w:b/>
              </w:rPr>
              <w:t>Compartiment administrare</w:t>
            </w:r>
          </w:p>
          <w:p w14:paraId="3F6F7D92" w14:textId="20EA449F" w:rsidR="00657D73" w:rsidRDefault="00657D73">
            <w:pPr>
              <w:jc w:val="center"/>
              <w:rPr>
                <w:b/>
              </w:rPr>
            </w:pPr>
            <w:r>
              <w:rPr>
                <w:b/>
              </w:rPr>
              <w:t>domeniul public și privat,</w:t>
            </w: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r>
              <w:rPr>
                <w:b/>
              </w:rPr>
              <w:t>Preşedinte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1E3FD2">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5"/>
  </w:num>
  <w:num w:numId="2" w16cid:durableId="907764043">
    <w:abstractNumId w:val="0"/>
  </w:num>
  <w:num w:numId="3" w16cid:durableId="232934596">
    <w:abstractNumId w:val="1"/>
  </w:num>
  <w:num w:numId="4" w16cid:durableId="1189565918">
    <w:abstractNumId w:val="3"/>
  </w:num>
  <w:num w:numId="5" w16cid:durableId="342901621">
    <w:abstractNumId w:val="4"/>
  </w:num>
  <w:num w:numId="6" w16cid:durableId="1869902503">
    <w:abstractNumId w:val="8"/>
  </w:num>
  <w:num w:numId="7" w16cid:durableId="295259729">
    <w:abstractNumId w:val="7"/>
  </w:num>
  <w:num w:numId="8" w16cid:durableId="1774209219">
    <w:abstractNumId w:val="9"/>
  </w:num>
  <w:num w:numId="9" w16cid:durableId="1227254580">
    <w:abstractNumId w:val="2"/>
  </w:num>
  <w:num w:numId="10" w16cid:durableId="20093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1857"/>
    <w:rsid w:val="000A2C44"/>
    <w:rsid w:val="000E5DD9"/>
    <w:rsid w:val="00103554"/>
    <w:rsid w:val="00153F44"/>
    <w:rsid w:val="00163B76"/>
    <w:rsid w:val="00175938"/>
    <w:rsid w:val="001E3FD2"/>
    <w:rsid w:val="001F3A3B"/>
    <w:rsid w:val="002038A8"/>
    <w:rsid w:val="002263BC"/>
    <w:rsid w:val="00242DB0"/>
    <w:rsid w:val="00267BE1"/>
    <w:rsid w:val="00284D0F"/>
    <w:rsid w:val="00294EDE"/>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129BB"/>
    <w:rsid w:val="00524155"/>
    <w:rsid w:val="0054107E"/>
    <w:rsid w:val="00577322"/>
    <w:rsid w:val="00594DE8"/>
    <w:rsid w:val="005A567A"/>
    <w:rsid w:val="005C6DDF"/>
    <w:rsid w:val="005F6651"/>
    <w:rsid w:val="006345E7"/>
    <w:rsid w:val="00657D73"/>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C7AD1"/>
    <w:rsid w:val="00A262B6"/>
    <w:rsid w:val="00A51E06"/>
    <w:rsid w:val="00A52250"/>
    <w:rsid w:val="00A764B6"/>
    <w:rsid w:val="00AC6745"/>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59</cp:revision>
  <cp:lastPrinted>2023-08-08T07:29:00Z</cp:lastPrinted>
  <dcterms:created xsi:type="dcterms:W3CDTF">2021-03-23T12:15:00Z</dcterms:created>
  <dcterms:modified xsi:type="dcterms:W3CDTF">2024-04-03T08:40:00Z</dcterms:modified>
</cp:coreProperties>
</file>